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CE" w:rsidRPr="001D3481" w:rsidRDefault="00B15854">
      <w:pPr>
        <w:spacing w:after="343" w:line="259" w:lineRule="auto"/>
        <w:ind w:left="0" w:right="0" w:firstLine="0"/>
        <w:jc w:val="right"/>
        <w:rPr>
          <w:color w:val="auto"/>
        </w:rPr>
      </w:pPr>
      <w:r w:rsidRPr="001D3481">
        <w:rPr>
          <w:noProof/>
          <w:color w:val="auto"/>
        </w:rPr>
        <w:drawing>
          <wp:inline distT="0" distB="0" distL="0" distR="0" wp14:anchorId="0A5758B8" wp14:editId="53F3541F">
            <wp:extent cx="5760721" cy="47548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481">
        <w:rPr>
          <w:color w:val="auto"/>
          <w:sz w:val="22"/>
        </w:rPr>
        <w:t xml:space="preserve"> </w:t>
      </w:r>
    </w:p>
    <w:p w:rsidR="000067CE" w:rsidRPr="001D3481" w:rsidRDefault="00B15854">
      <w:pPr>
        <w:spacing w:after="50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  <w:sz w:val="56"/>
        </w:rPr>
        <w:t xml:space="preserve"> </w:t>
      </w:r>
    </w:p>
    <w:p w:rsidR="000067CE" w:rsidRPr="001D3481" w:rsidRDefault="00CA335A" w:rsidP="00180743">
      <w:pPr>
        <w:spacing w:after="48" w:line="259" w:lineRule="auto"/>
        <w:ind w:left="0" w:right="0" w:firstLine="0"/>
        <w:jc w:val="center"/>
        <w:rPr>
          <w:color w:val="auto"/>
          <w:sz w:val="48"/>
          <w:szCs w:val="48"/>
        </w:rPr>
      </w:pPr>
      <w:r w:rsidRPr="001D3481">
        <w:rPr>
          <w:color w:val="auto"/>
          <w:sz w:val="48"/>
          <w:szCs w:val="48"/>
        </w:rPr>
        <w:t>S</w:t>
      </w:r>
      <w:r w:rsidR="00B15854" w:rsidRPr="001D3481">
        <w:rPr>
          <w:color w:val="auto"/>
          <w:sz w:val="48"/>
          <w:szCs w:val="48"/>
        </w:rPr>
        <w:t xml:space="preserve">chemat grantowy </w:t>
      </w:r>
      <w:r w:rsidRPr="001D3481">
        <w:rPr>
          <w:color w:val="auto"/>
          <w:sz w:val="48"/>
          <w:szCs w:val="48"/>
        </w:rPr>
        <w:t xml:space="preserve">dla projektu </w:t>
      </w:r>
      <w:r w:rsidR="00180743" w:rsidRPr="001D3481">
        <w:rPr>
          <w:color w:val="auto"/>
          <w:sz w:val="48"/>
          <w:szCs w:val="48"/>
        </w:rPr>
        <w:br/>
      </w:r>
      <w:r w:rsidR="008D4F41" w:rsidRPr="001D3481">
        <w:rPr>
          <w:color w:val="auto"/>
          <w:sz w:val="48"/>
          <w:szCs w:val="48"/>
        </w:rPr>
        <w:t>„W sieci bez barier”</w:t>
      </w:r>
    </w:p>
    <w:p w:rsidR="007A3568" w:rsidRPr="001D3481" w:rsidRDefault="007A3568">
      <w:pPr>
        <w:spacing w:after="96" w:line="259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067CE" w:rsidRPr="001D3481" w:rsidRDefault="00B15854">
      <w:pPr>
        <w:spacing w:after="96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>
      <w:pPr>
        <w:spacing w:after="0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  <w:sz w:val="32"/>
        </w:rPr>
        <w:t xml:space="preserve">Spis treści </w:t>
      </w:r>
    </w:p>
    <w:sdt>
      <w:sdtPr>
        <w:rPr>
          <w:color w:val="auto"/>
          <w:sz w:val="24"/>
        </w:rPr>
        <w:id w:val="-525322964"/>
        <w:docPartObj>
          <w:docPartGallery w:val="Table of Contents"/>
        </w:docPartObj>
      </w:sdtPr>
      <w:sdtEndPr>
        <w:rPr>
          <w:sz w:val="22"/>
        </w:rPr>
      </w:sdtEndPr>
      <w:sdtContent>
        <w:p w:rsidR="00C40765" w:rsidRPr="001D3481" w:rsidRDefault="00900927">
          <w:pPr>
            <w:pStyle w:val="Spistreci1"/>
            <w:tabs>
              <w:tab w:val="left" w:pos="66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1D3481">
            <w:rPr>
              <w:color w:val="auto"/>
            </w:rPr>
            <w:fldChar w:fldCharType="begin"/>
          </w:r>
          <w:r w:rsidR="00C40765" w:rsidRPr="001D3481">
            <w:rPr>
              <w:color w:val="auto"/>
            </w:rPr>
            <w:instrText xml:space="preserve"> TOC \o "1-2" \h \z \u </w:instrText>
          </w:r>
          <w:r w:rsidRPr="001D3481">
            <w:rPr>
              <w:color w:val="auto"/>
            </w:rPr>
            <w:fldChar w:fldCharType="separate"/>
          </w:r>
          <w:hyperlink w:anchor="_Toc494625517" w:history="1">
            <w:r w:rsidR="00C40765" w:rsidRPr="001D3481">
              <w:rPr>
                <w:rStyle w:val="Hipercze"/>
                <w:b/>
                <w:noProof/>
                <w:color w:val="auto"/>
              </w:rPr>
              <w:t>I.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</w:rPr>
              <w:t>CEL DOKUMETU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_Toc494625517 \h </w:instrText>
            </w:r>
            <w:r w:rsidRPr="001D3481">
              <w:rPr>
                <w:noProof/>
                <w:webHidden/>
                <w:color w:val="auto"/>
              </w:rPr>
            </w:r>
            <w:r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2</w:t>
            </w:r>
            <w:r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1"/>
            <w:tabs>
              <w:tab w:val="left" w:pos="66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18" w:history="1">
            <w:r w:rsidR="00C40765" w:rsidRPr="001D3481">
              <w:rPr>
                <w:rStyle w:val="Hipercze"/>
                <w:b/>
                <w:noProof/>
                <w:color w:val="auto"/>
              </w:rPr>
              <w:t>II.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</w:rPr>
              <w:t>OPIS ELEMENTÓW SCHEMATU GRANTOWEGO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_Toc494625518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2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88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19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1.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Ramowe kryteria wyboru grantobiorców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_Toc494625519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2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88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20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2.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Sposób wyboru grantobiorców w otwartym naborze, z zachowaniem zasady bezstronności i przejrzystości.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_Toc494625520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5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88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21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3.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Elementy wniosku o grant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_Toc494625521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7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88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22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4.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Wydatki kwalifikowalne w mikroprojektach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_Toc494625522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8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88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23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5.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Umowa o powierzenie grantu oraz dopuszczalne zmiany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_Toc494625523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8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88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24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6.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Tryb wypłacania grantów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_Toc494625524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9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88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25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7.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Zasady dotyczące rozliczania grantów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_Toc494625525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10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88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26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  <w:u w:color="000000"/>
              </w:rPr>
              <w:t>8.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Zasady dotyczące monitorowania i kontroli grantów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_Toc494625526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11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88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27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  <w:u w:color="000000"/>
              </w:rPr>
              <w:t>9.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Zasady dotyczące odzyskiwania grantów w przypadku ich wykorzystania niezgodnie z celami projektu grantowego lub niewykorzystania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_Toc494625527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12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C40765" w:rsidRPr="001D3481" w:rsidRDefault="005A20AB">
          <w:pPr>
            <w:pStyle w:val="Spistreci2"/>
            <w:tabs>
              <w:tab w:val="left" w:pos="1100"/>
              <w:tab w:val="right" w:leader="dot" w:pos="91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4625528" w:history="1"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  <w:u w:color="000000"/>
              </w:rPr>
              <w:t>10.</w:t>
            </w:r>
            <w:r w:rsidR="00C40765" w:rsidRPr="001D34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40765" w:rsidRPr="001D3481">
              <w:rPr>
                <w:rStyle w:val="Hipercze"/>
                <w:b/>
                <w:noProof/>
                <w:color w:val="auto"/>
                <w:highlight w:val="lightGray"/>
              </w:rPr>
              <w:t>Promocja projektu i działania informacyjne</w:t>
            </w:r>
            <w:r w:rsidR="00C40765" w:rsidRPr="001D3481">
              <w:rPr>
                <w:noProof/>
                <w:webHidden/>
                <w:color w:val="auto"/>
              </w:rPr>
              <w:tab/>
            </w:r>
            <w:r w:rsidR="00900927" w:rsidRPr="001D3481">
              <w:rPr>
                <w:noProof/>
                <w:webHidden/>
                <w:color w:val="auto"/>
              </w:rPr>
              <w:fldChar w:fldCharType="begin"/>
            </w:r>
            <w:r w:rsidR="00C40765" w:rsidRPr="001D3481">
              <w:rPr>
                <w:noProof/>
                <w:webHidden/>
                <w:color w:val="auto"/>
              </w:rPr>
              <w:instrText xml:space="preserve"> PAGEREF _Toc494625528 \h </w:instrText>
            </w:r>
            <w:r w:rsidR="00900927" w:rsidRPr="001D3481">
              <w:rPr>
                <w:noProof/>
                <w:webHidden/>
                <w:color w:val="auto"/>
              </w:rPr>
            </w:r>
            <w:r w:rsidR="00900927" w:rsidRPr="001D3481">
              <w:rPr>
                <w:noProof/>
                <w:webHidden/>
                <w:color w:val="auto"/>
              </w:rPr>
              <w:fldChar w:fldCharType="separate"/>
            </w:r>
            <w:r w:rsidR="00C53BA5">
              <w:rPr>
                <w:noProof/>
                <w:webHidden/>
                <w:color w:val="auto"/>
              </w:rPr>
              <w:t>12</w:t>
            </w:r>
            <w:r w:rsidR="00900927" w:rsidRPr="001D3481">
              <w:rPr>
                <w:noProof/>
                <w:webHidden/>
                <w:color w:val="auto"/>
              </w:rPr>
              <w:fldChar w:fldCharType="end"/>
            </w:r>
          </w:hyperlink>
        </w:p>
        <w:p w:rsidR="000067CE" w:rsidRPr="001D3481" w:rsidRDefault="00900927" w:rsidP="00C40765">
          <w:pPr>
            <w:pStyle w:val="Spistreci1"/>
            <w:tabs>
              <w:tab w:val="right" w:leader="dot" w:pos="9124"/>
            </w:tabs>
            <w:ind w:left="0" w:firstLine="0"/>
            <w:jc w:val="both"/>
            <w:rPr>
              <w:color w:val="auto"/>
            </w:rPr>
          </w:pPr>
          <w:r w:rsidRPr="001D3481">
            <w:rPr>
              <w:color w:val="auto"/>
            </w:rPr>
            <w:fldChar w:fldCharType="end"/>
          </w:r>
        </w:p>
      </w:sdtContent>
    </w:sdt>
    <w:p w:rsidR="000067CE" w:rsidRPr="001D3481" w:rsidRDefault="00B15854">
      <w:pPr>
        <w:spacing w:after="38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  <w:sz w:val="22"/>
        </w:rPr>
        <w:t xml:space="preserve"> </w:t>
      </w:r>
    </w:p>
    <w:p w:rsidR="000067CE" w:rsidRPr="001D3481" w:rsidRDefault="00B15854">
      <w:pPr>
        <w:spacing w:after="22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>
      <w:pPr>
        <w:spacing w:after="20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>
      <w:pPr>
        <w:spacing w:after="22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>
      <w:pPr>
        <w:spacing w:after="20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>
      <w:pPr>
        <w:spacing w:after="20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>
      <w:pPr>
        <w:spacing w:after="54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>
      <w:pPr>
        <w:spacing w:after="0" w:line="259" w:lineRule="auto"/>
        <w:ind w:left="0" w:right="0" w:firstLine="0"/>
        <w:jc w:val="left"/>
        <w:rPr>
          <w:color w:val="auto"/>
          <w:sz w:val="26"/>
        </w:rPr>
      </w:pPr>
      <w:r w:rsidRPr="001D3481">
        <w:rPr>
          <w:color w:val="auto"/>
          <w:sz w:val="22"/>
        </w:rPr>
        <w:t xml:space="preserve"> </w:t>
      </w:r>
      <w:r w:rsidRPr="001D3481">
        <w:rPr>
          <w:color w:val="auto"/>
          <w:sz w:val="22"/>
        </w:rPr>
        <w:tab/>
      </w:r>
      <w:r w:rsidRPr="001D3481">
        <w:rPr>
          <w:color w:val="auto"/>
          <w:sz w:val="26"/>
        </w:rPr>
        <w:t xml:space="preserve"> </w:t>
      </w:r>
    </w:p>
    <w:p w:rsidR="007A3568" w:rsidRPr="001D3481" w:rsidRDefault="007A3568">
      <w:pPr>
        <w:spacing w:after="0" w:line="259" w:lineRule="auto"/>
        <w:ind w:left="0" w:right="0" w:firstLine="0"/>
        <w:jc w:val="left"/>
        <w:rPr>
          <w:color w:val="auto"/>
          <w:sz w:val="26"/>
        </w:rPr>
      </w:pPr>
    </w:p>
    <w:p w:rsidR="007A3568" w:rsidRPr="001D3481" w:rsidRDefault="007A3568">
      <w:pPr>
        <w:spacing w:after="0" w:line="259" w:lineRule="auto"/>
        <w:ind w:left="0" w:right="0" w:firstLine="0"/>
        <w:jc w:val="left"/>
        <w:rPr>
          <w:color w:val="auto"/>
          <w:sz w:val="26"/>
        </w:rPr>
      </w:pPr>
    </w:p>
    <w:p w:rsidR="007A3568" w:rsidRPr="001D3481" w:rsidRDefault="007A3568">
      <w:pPr>
        <w:spacing w:after="0" w:line="259" w:lineRule="auto"/>
        <w:ind w:left="0" w:right="0" w:firstLine="0"/>
        <w:jc w:val="left"/>
        <w:rPr>
          <w:color w:val="auto"/>
          <w:sz w:val="26"/>
        </w:rPr>
      </w:pPr>
    </w:p>
    <w:p w:rsidR="007A3568" w:rsidRPr="001D3481" w:rsidRDefault="007A3568">
      <w:pPr>
        <w:spacing w:after="0" w:line="259" w:lineRule="auto"/>
        <w:ind w:left="0" w:right="0" w:firstLine="0"/>
        <w:jc w:val="left"/>
        <w:rPr>
          <w:color w:val="auto"/>
          <w:sz w:val="26"/>
        </w:rPr>
      </w:pPr>
    </w:p>
    <w:p w:rsidR="007A3568" w:rsidRPr="001D3481" w:rsidRDefault="007A3568">
      <w:pPr>
        <w:spacing w:after="0" w:line="259" w:lineRule="auto"/>
        <w:ind w:left="0" w:right="0" w:firstLine="0"/>
        <w:jc w:val="left"/>
        <w:rPr>
          <w:color w:val="auto"/>
          <w:sz w:val="26"/>
        </w:rPr>
      </w:pPr>
    </w:p>
    <w:p w:rsidR="007A3568" w:rsidRPr="001D3481" w:rsidRDefault="007A3568">
      <w:pPr>
        <w:spacing w:after="0" w:line="259" w:lineRule="auto"/>
        <w:ind w:left="0" w:right="0" w:firstLine="0"/>
        <w:jc w:val="left"/>
        <w:rPr>
          <w:color w:val="auto"/>
        </w:rPr>
      </w:pPr>
    </w:p>
    <w:p w:rsidR="000067CE" w:rsidRPr="001D3481" w:rsidRDefault="00B15854" w:rsidP="00A32CF0">
      <w:pPr>
        <w:pStyle w:val="Nagwek1"/>
        <w:numPr>
          <w:ilvl w:val="0"/>
          <w:numId w:val="34"/>
        </w:numPr>
        <w:rPr>
          <w:b/>
          <w:color w:val="auto"/>
        </w:rPr>
      </w:pPr>
      <w:bookmarkStart w:id="0" w:name="_Toc494625517"/>
      <w:bookmarkStart w:id="1" w:name="_Toc8860"/>
      <w:r w:rsidRPr="001D3481">
        <w:rPr>
          <w:b/>
          <w:color w:val="auto"/>
        </w:rPr>
        <w:t>CEL DOKUMETU</w:t>
      </w:r>
      <w:bookmarkEnd w:id="0"/>
      <w:r w:rsidRPr="001D3481">
        <w:rPr>
          <w:b/>
          <w:color w:val="auto"/>
          <w:sz w:val="24"/>
        </w:rPr>
        <w:t xml:space="preserve"> </w:t>
      </w:r>
      <w:bookmarkEnd w:id="1"/>
    </w:p>
    <w:p w:rsidR="000067CE" w:rsidRPr="001D3481" w:rsidRDefault="00B15854">
      <w:pPr>
        <w:spacing w:after="20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CD6E54" w:rsidP="008D4F41">
      <w:pPr>
        <w:spacing w:after="129"/>
        <w:ind w:left="0" w:right="42" w:firstLine="0"/>
        <w:rPr>
          <w:color w:val="auto"/>
        </w:rPr>
      </w:pPr>
      <w:r w:rsidRPr="001D3481">
        <w:rPr>
          <w:color w:val="auto"/>
        </w:rPr>
        <w:t xml:space="preserve">Celem niniejszego schematu grantowego jest określenie minimalnego zakresu procedur udzielania grantów w ramach projektu </w:t>
      </w:r>
      <w:r w:rsidR="008D4F41" w:rsidRPr="001D3481">
        <w:rPr>
          <w:color w:val="auto"/>
        </w:rPr>
        <w:t>„W sieci bez barier”</w:t>
      </w:r>
      <w:r w:rsidR="003B0BEA" w:rsidRPr="001D3481">
        <w:rPr>
          <w:color w:val="auto"/>
        </w:rPr>
        <w:t xml:space="preserve"> przeznaczonych na realizację mikroprojektów </w:t>
      </w:r>
      <w:r w:rsidR="00ED188C" w:rsidRPr="001D3481">
        <w:rPr>
          <w:color w:val="auto"/>
        </w:rPr>
        <w:t xml:space="preserve">ukierunkowanych na rozwój kompetencji cyfrowych wśród społeczności lokalnej </w:t>
      </w:r>
      <w:r w:rsidR="008D4F41" w:rsidRPr="001D3481">
        <w:rPr>
          <w:color w:val="auto"/>
        </w:rPr>
        <w:t>.</w:t>
      </w:r>
      <w:r w:rsidRPr="001D3481">
        <w:rPr>
          <w:color w:val="auto"/>
        </w:rPr>
        <w:t xml:space="preserve"> </w:t>
      </w:r>
    </w:p>
    <w:p w:rsidR="000067CE" w:rsidRPr="001D3481" w:rsidRDefault="00B15854">
      <w:pPr>
        <w:spacing w:after="81" w:line="259" w:lineRule="auto"/>
        <w:ind w:left="427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 w:rsidP="00A32CF0">
      <w:pPr>
        <w:pStyle w:val="Nagwek1"/>
        <w:numPr>
          <w:ilvl w:val="0"/>
          <w:numId w:val="34"/>
        </w:numPr>
        <w:rPr>
          <w:b/>
          <w:color w:val="auto"/>
        </w:rPr>
      </w:pPr>
      <w:bookmarkStart w:id="2" w:name="_Toc494625518"/>
      <w:bookmarkStart w:id="3" w:name="_Toc8861"/>
      <w:r w:rsidRPr="001D3481">
        <w:rPr>
          <w:b/>
          <w:color w:val="auto"/>
        </w:rPr>
        <w:t>OPIS ELEMENTÓW SCHEMATU GRANTOWEGO</w:t>
      </w:r>
      <w:bookmarkEnd w:id="2"/>
      <w:r w:rsidRPr="001D3481">
        <w:rPr>
          <w:b/>
          <w:color w:val="auto"/>
        </w:rPr>
        <w:t xml:space="preserve"> </w:t>
      </w:r>
      <w:bookmarkEnd w:id="3"/>
    </w:p>
    <w:p w:rsidR="000067CE" w:rsidRPr="001D3481" w:rsidRDefault="00B15854">
      <w:pPr>
        <w:spacing w:after="20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0067CE">
      <w:pPr>
        <w:spacing w:after="77" w:line="259" w:lineRule="auto"/>
        <w:ind w:left="0" w:right="0" w:firstLine="0"/>
        <w:jc w:val="left"/>
        <w:rPr>
          <w:color w:val="auto"/>
        </w:rPr>
      </w:pPr>
    </w:p>
    <w:p w:rsidR="000067CE" w:rsidRPr="001D3481" w:rsidRDefault="00B15854" w:rsidP="00BF4468">
      <w:pPr>
        <w:pStyle w:val="Nagwek2"/>
        <w:numPr>
          <w:ilvl w:val="3"/>
          <w:numId w:val="13"/>
        </w:numPr>
        <w:ind w:left="426" w:hanging="454"/>
        <w:rPr>
          <w:b/>
          <w:color w:val="auto"/>
          <w:highlight w:val="lightGray"/>
        </w:rPr>
      </w:pPr>
      <w:bookmarkStart w:id="4" w:name="_Toc494625519"/>
      <w:bookmarkStart w:id="5" w:name="_Toc8862"/>
      <w:r w:rsidRPr="001D3481">
        <w:rPr>
          <w:b/>
          <w:color w:val="auto"/>
          <w:highlight w:val="lightGray"/>
        </w:rPr>
        <w:t xml:space="preserve">Ramowe kryteria wyboru </w:t>
      </w:r>
      <w:proofErr w:type="spellStart"/>
      <w:r w:rsidRPr="001D3481">
        <w:rPr>
          <w:b/>
          <w:color w:val="auto"/>
          <w:highlight w:val="lightGray"/>
        </w:rPr>
        <w:t>grantobiorców</w:t>
      </w:r>
      <w:bookmarkEnd w:id="4"/>
      <w:proofErr w:type="spellEnd"/>
      <w:r w:rsidRPr="001D3481">
        <w:rPr>
          <w:b/>
          <w:color w:val="auto"/>
          <w:highlight w:val="lightGray"/>
        </w:rPr>
        <w:t xml:space="preserve"> </w:t>
      </w:r>
      <w:bookmarkEnd w:id="5"/>
      <w:r w:rsidR="00193179" w:rsidRPr="001D3481">
        <w:rPr>
          <w:b/>
          <w:color w:val="auto"/>
          <w:highlight w:val="lightGray"/>
        </w:rPr>
        <w:br/>
      </w:r>
    </w:p>
    <w:p w:rsidR="00FE79D5" w:rsidRPr="00C53BA5" w:rsidRDefault="001629B2" w:rsidP="00922F4E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C53BA5">
        <w:rPr>
          <w:color w:val="auto"/>
        </w:rPr>
        <w:t xml:space="preserve">Granty </w:t>
      </w:r>
      <w:r w:rsidR="000523D9" w:rsidRPr="00C53BA5">
        <w:rPr>
          <w:color w:val="auto"/>
        </w:rPr>
        <w:t xml:space="preserve">na realizację mikroprojektów </w:t>
      </w:r>
      <w:r w:rsidRPr="00C53BA5">
        <w:rPr>
          <w:color w:val="auto"/>
        </w:rPr>
        <w:t>udzielane będą przez</w:t>
      </w:r>
      <w:r w:rsidR="00FE79D5" w:rsidRPr="00C53BA5">
        <w:rPr>
          <w:color w:val="auto"/>
        </w:rPr>
        <w:t xml:space="preserve"> </w:t>
      </w:r>
      <w:r w:rsidR="00A040CC" w:rsidRPr="00C53BA5">
        <w:rPr>
          <w:color w:val="auto"/>
        </w:rPr>
        <w:t>operatorów</w:t>
      </w:r>
      <w:r w:rsidR="00FE79D5" w:rsidRPr="00C53BA5">
        <w:rPr>
          <w:color w:val="auto"/>
        </w:rPr>
        <w:t>:</w:t>
      </w:r>
      <w:r w:rsidRPr="00C53BA5">
        <w:rPr>
          <w:color w:val="auto"/>
        </w:rPr>
        <w:t xml:space="preserve"> </w:t>
      </w:r>
    </w:p>
    <w:p w:rsidR="00FE79D5" w:rsidRPr="00C53BA5" w:rsidRDefault="00FE79D5" w:rsidP="00C53BA5">
      <w:pPr>
        <w:ind w:left="988" w:firstLine="0"/>
        <w:rPr>
          <w:color w:val="auto"/>
        </w:rPr>
      </w:pPr>
      <w:r w:rsidRPr="00C53BA5">
        <w:rPr>
          <w:color w:val="auto"/>
        </w:rPr>
        <w:t>F</w:t>
      </w:r>
      <w:r w:rsidR="001629B2" w:rsidRPr="00C53BA5">
        <w:rPr>
          <w:color w:val="auto"/>
        </w:rPr>
        <w:t xml:space="preserve">undację e-Prosperity </w:t>
      </w:r>
      <w:r w:rsidR="003B5AF0" w:rsidRPr="00C53BA5">
        <w:rPr>
          <w:color w:val="auto"/>
        </w:rPr>
        <w:t xml:space="preserve">oraz Fundację Nowy Staw </w:t>
      </w:r>
      <w:r w:rsidR="001629B2" w:rsidRPr="00C53BA5">
        <w:rPr>
          <w:color w:val="auto"/>
        </w:rPr>
        <w:t xml:space="preserve">dla podmiotów ubiegających się o wsparcie </w:t>
      </w:r>
      <w:r w:rsidR="0010496D" w:rsidRPr="00C53BA5">
        <w:rPr>
          <w:color w:val="auto"/>
        </w:rPr>
        <w:t>realizowane na</w:t>
      </w:r>
      <w:r w:rsidR="001629B2" w:rsidRPr="00C53BA5">
        <w:rPr>
          <w:color w:val="auto"/>
        </w:rPr>
        <w:t xml:space="preserve"> teren</w:t>
      </w:r>
      <w:r w:rsidR="0010496D" w:rsidRPr="00C53BA5">
        <w:rPr>
          <w:color w:val="auto"/>
        </w:rPr>
        <w:t>ie</w:t>
      </w:r>
      <w:r w:rsidR="001629B2" w:rsidRPr="00C53BA5">
        <w:rPr>
          <w:color w:val="auto"/>
        </w:rPr>
        <w:t xml:space="preserve"> </w:t>
      </w:r>
      <w:r w:rsidRPr="00C53BA5">
        <w:rPr>
          <w:color w:val="auto"/>
        </w:rPr>
        <w:t>województwa</w:t>
      </w:r>
      <w:r w:rsidR="003B5AF0" w:rsidRPr="00C53BA5">
        <w:rPr>
          <w:color w:val="auto"/>
        </w:rPr>
        <w:t xml:space="preserve"> lubelskiego oraz na terenie województwa podkarpackiego.</w:t>
      </w:r>
    </w:p>
    <w:p w:rsidR="00CD6E54" w:rsidRPr="001D3481" w:rsidRDefault="00FE79D5" w:rsidP="00922F4E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1D3481">
        <w:rPr>
          <w:color w:val="auto"/>
        </w:rPr>
        <w:t xml:space="preserve">Uprawnione podmioty mogą ubiegać się o granty w ogłaszanych przez właściwego </w:t>
      </w:r>
      <w:r w:rsidR="00A040CC" w:rsidRPr="001D3481">
        <w:rPr>
          <w:color w:val="auto"/>
        </w:rPr>
        <w:t xml:space="preserve">operatora </w:t>
      </w:r>
      <w:r w:rsidRPr="001D3481">
        <w:rPr>
          <w:color w:val="auto"/>
        </w:rPr>
        <w:t>konkursach. Konkursy prowadzone będą na zasadach</w:t>
      </w:r>
      <w:r w:rsidR="00AE207B" w:rsidRPr="001D3481">
        <w:rPr>
          <w:color w:val="auto"/>
        </w:rPr>
        <w:t xml:space="preserve"> naboru z zachowaniem bezstronności i przejrzystości zastosowanych procedur w oparciu o kryteria wyboru </w:t>
      </w:r>
      <w:proofErr w:type="spellStart"/>
      <w:r w:rsidR="00FB7B07">
        <w:rPr>
          <w:color w:val="auto"/>
        </w:rPr>
        <w:t>grantobior</w:t>
      </w:r>
      <w:r w:rsidR="00FB7B07" w:rsidRPr="001D3481">
        <w:rPr>
          <w:color w:val="auto"/>
        </w:rPr>
        <w:t>ców</w:t>
      </w:r>
      <w:proofErr w:type="spellEnd"/>
      <w:r w:rsidR="00FB7B07" w:rsidRPr="001D3481">
        <w:rPr>
          <w:color w:val="auto"/>
        </w:rPr>
        <w:t xml:space="preserve">  </w:t>
      </w:r>
      <w:r w:rsidR="005F11F5" w:rsidRPr="001D3481">
        <w:rPr>
          <w:color w:val="auto"/>
        </w:rPr>
        <w:t xml:space="preserve">określone w </w:t>
      </w:r>
      <w:r w:rsidR="0094667B" w:rsidRPr="001D3481">
        <w:rPr>
          <w:color w:val="auto"/>
        </w:rPr>
        <w:t xml:space="preserve">pkt. </w:t>
      </w:r>
      <w:r w:rsidR="00BF4468" w:rsidRPr="001D3481">
        <w:rPr>
          <w:color w:val="auto"/>
        </w:rPr>
        <w:t>1.</w:t>
      </w:r>
      <w:r w:rsidRPr="001D3481">
        <w:rPr>
          <w:color w:val="auto"/>
        </w:rPr>
        <w:t xml:space="preserve">3. i </w:t>
      </w:r>
      <w:r w:rsidR="00BF4468" w:rsidRPr="001D3481">
        <w:rPr>
          <w:color w:val="auto"/>
        </w:rPr>
        <w:t>1</w:t>
      </w:r>
      <w:r w:rsidR="000C704A" w:rsidRPr="001D3481">
        <w:rPr>
          <w:color w:val="auto"/>
        </w:rPr>
        <w:t>.</w:t>
      </w:r>
      <w:r w:rsidR="0094667B" w:rsidRPr="001D3481">
        <w:rPr>
          <w:color w:val="auto"/>
        </w:rPr>
        <w:t>4.</w:t>
      </w:r>
    </w:p>
    <w:p w:rsidR="00B409BD" w:rsidRPr="001D3481" w:rsidRDefault="00F2514C" w:rsidP="00922F4E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proofErr w:type="spellStart"/>
      <w:r w:rsidRPr="006C7176">
        <w:rPr>
          <w:szCs w:val="24"/>
        </w:rPr>
        <w:t>Grantobiorcą</w:t>
      </w:r>
      <w:proofErr w:type="spellEnd"/>
      <w:r w:rsidRPr="006C7176">
        <w:rPr>
          <w:szCs w:val="24"/>
        </w:rPr>
        <w:t xml:space="preserve"> realizującym mikroprojekt może być gmina działająca samodzielnie lub w partnerstwie z organizacjami pozarządowymi</w:t>
      </w:r>
      <w:r w:rsidR="00B409BD" w:rsidRPr="001D3481">
        <w:rPr>
          <w:color w:val="auto"/>
        </w:rPr>
        <w:t xml:space="preserve">. </w:t>
      </w:r>
    </w:p>
    <w:p w:rsidR="00B409BD" w:rsidRPr="001D3481" w:rsidRDefault="00B409BD" w:rsidP="00A32CF0">
      <w:pPr>
        <w:pStyle w:val="Akapitzlist"/>
        <w:numPr>
          <w:ilvl w:val="0"/>
          <w:numId w:val="33"/>
        </w:numPr>
        <w:ind w:left="993" w:hanging="567"/>
        <w:rPr>
          <w:color w:val="auto"/>
        </w:rPr>
      </w:pPr>
      <w:proofErr w:type="spellStart"/>
      <w:r w:rsidRPr="001D3481">
        <w:rPr>
          <w:color w:val="auto"/>
        </w:rPr>
        <w:t>Grantobiorcą</w:t>
      </w:r>
      <w:proofErr w:type="spellEnd"/>
      <w:r w:rsidRPr="001D3481">
        <w:rPr>
          <w:color w:val="auto"/>
        </w:rPr>
        <w:t xml:space="preserve"> może zostać podmiot, który spełni następujące kryteria:</w:t>
      </w:r>
    </w:p>
    <w:p w:rsidR="00B409BD" w:rsidRPr="001D3481" w:rsidRDefault="000520A2" w:rsidP="00B409BD">
      <w:pPr>
        <w:pStyle w:val="Akapitzlist"/>
        <w:numPr>
          <w:ilvl w:val="0"/>
          <w:numId w:val="14"/>
        </w:numPr>
        <w:rPr>
          <w:color w:val="auto"/>
        </w:rPr>
      </w:pPr>
      <w:r w:rsidRPr="001D3481">
        <w:rPr>
          <w:color w:val="auto"/>
        </w:rPr>
        <w:t>N</w:t>
      </w:r>
      <w:r w:rsidR="00B409BD" w:rsidRPr="001D3481">
        <w:rPr>
          <w:color w:val="auto"/>
        </w:rPr>
        <w:t xml:space="preserve">ależy do katalogu podmiotów kwalifikujących się do otrzymania wparcia (weryfikacja kryterium na podstawie </w:t>
      </w:r>
      <w:r w:rsidR="001629B2" w:rsidRPr="001D3481">
        <w:rPr>
          <w:color w:val="auto"/>
        </w:rPr>
        <w:t>dokumentów rejestrowych</w:t>
      </w:r>
      <w:r w:rsidR="00B409BD" w:rsidRPr="001D3481">
        <w:rPr>
          <w:color w:val="auto"/>
        </w:rPr>
        <w:t>)</w:t>
      </w:r>
      <w:r w:rsidR="0010496D" w:rsidRPr="001D3481">
        <w:rPr>
          <w:color w:val="auto"/>
        </w:rPr>
        <w:t>.</w:t>
      </w:r>
    </w:p>
    <w:p w:rsidR="00B409BD" w:rsidRPr="001D3481" w:rsidRDefault="000520A2" w:rsidP="000520A2">
      <w:pPr>
        <w:pStyle w:val="Akapitzlist"/>
        <w:numPr>
          <w:ilvl w:val="0"/>
          <w:numId w:val="14"/>
        </w:numPr>
        <w:rPr>
          <w:color w:val="auto"/>
        </w:rPr>
      </w:pPr>
      <w:r w:rsidRPr="001D3481">
        <w:rPr>
          <w:color w:val="auto"/>
        </w:rPr>
        <w:t>N</w:t>
      </w:r>
      <w:r w:rsidR="00B409BD" w:rsidRPr="001D3481">
        <w:rPr>
          <w:color w:val="auto"/>
        </w:rPr>
        <w:t xml:space="preserve">ie </w:t>
      </w:r>
      <w:r w:rsidRPr="001D3481">
        <w:rPr>
          <w:color w:val="auto"/>
        </w:rPr>
        <w:t>został</w:t>
      </w:r>
      <w:r w:rsidR="00B409BD" w:rsidRPr="001D3481">
        <w:rPr>
          <w:color w:val="auto"/>
        </w:rPr>
        <w:t xml:space="preserve"> wykluczony z możliwości </w:t>
      </w:r>
      <w:r w:rsidRPr="001D3481">
        <w:rPr>
          <w:color w:val="auto"/>
        </w:rPr>
        <w:t xml:space="preserve">ubiegania się o dofinansowanie na podstawie art. 207 ust. 4 ustawy z dnia 27 sierpnia 2009 r. o finansach publicznych (Dz. U. z 2016 r., poz. 1870 z </w:t>
      </w:r>
      <w:proofErr w:type="spellStart"/>
      <w:r w:rsidRPr="001D3481">
        <w:rPr>
          <w:color w:val="auto"/>
        </w:rPr>
        <w:t>późn</w:t>
      </w:r>
      <w:proofErr w:type="spellEnd"/>
      <w:r w:rsidRPr="001D3481">
        <w:rPr>
          <w:color w:val="auto"/>
        </w:rPr>
        <w:t>. zm.)</w:t>
      </w:r>
      <w:r w:rsidR="0010496D" w:rsidRPr="001D3481">
        <w:rPr>
          <w:color w:val="auto"/>
        </w:rPr>
        <w:t>.</w:t>
      </w:r>
      <w:r w:rsidRPr="001D3481">
        <w:rPr>
          <w:color w:val="auto"/>
        </w:rPr>
        <w:t xml:space="preserve"> </w:t>
      </w:r>
    </w:p>
    <w:p w:rsidR="00B409BD" w:rsidRPr="001D3481" w:rsidRDefault="000520A2" w:rsidP="00B409BD">
      <w:pPr>
        <w:pStyle w:val="Akapitzlist"/>
        <w:numPr>
          <w:ilvl w:val="0"/>
          <w:numId w:val="14"/>
        </w:numPr>
        <w:rPr>
          <w:color w:val="auto"/>
        </w:rPr>
      </w:pPr>
      <w:r w:rsidRPr="001D3481">
        <w:rPr>
          <w:color w:val="auto"/>
        </w:rPr>
        <w:t>N</w:t>
      </w:r>
      <w:r w:rsidR="001629B2" w:rsidRPr="001D3481">
        <w:rPr>
          <w:color w:val="auto"/>
        </w:rPr>
        <w:t>ie posiada zaległości wobec Skarbu Państwa</w:t>
      </w:r>
      <w:r w:rsidR="0010496D" w:rsidRPr="001D3481">
        <w:rPr>
          <w:color w:val="auto"/>
        </w:rPr>
        <w:t>.</w:t>
      </w:r>
    </w:p>
    <w:p w:rsidR="001629B2" w:rsidRPr="001D3481" w:rsidRDefault="000520A2" w:rsidP="00B409BD">
      <w:pPr>
        <w:pStyle w:val="Akapitzlist"/>
        <w:numPr>
          <w:ilvl w:val="0"/>
          <w:numId w:val="14"/>
        </w:numPr>
        <w:rPr>
          <w:color w:val="auto"/>
        </w:rPr>
      </w:pPr>
      <w:r w:rsidRPr="001D3481">
        <w:rPr>
          <w:color w:val="auto"/>
        </w:rPr>
        <w:t>Nie realizuje tożsamego działania finansowanego z grantu udzielonego przez innego operatora.</w:t>
      </w:r>
    </w:p>
    <w:p w:rsidR="000C704A" w:rsidRPr="001D3481" w:rsidRDefault="000C704A" w:rsidP="000C704A">
      <w:pPr>
        <w:pStyle w:val="Akapitzlist"/>
        <w:numPr>
          <w:ilvl w:val="0"/>
          <w:numId w:val="14"/>
        </w:numPr>
        <w:rPr>
          <w:color w:val="auto"/>
        </w:rPr>
      </w:pPr>
      <w:r w:rsidRPr="001D3481">
        <w:rPr>
          <w:color w:val="auto"/>
        </w:rPr>
        <w:t xml:space="preserve">Dysponuje potencjałem kadrowym, o którym mowa w pkt. </w:t>
      </w:r>
      <w:r w:rsidR="00BF4468" w:rsidRPr="001D3481">
        <w:rPr>
          <w:color w:val="auto"/>
        </w:rPr>
        <w:t>1</w:t>
      </w:r>
      <w:r w:rsidRPr="001D3481">
        <w:rPr>
          <w:color w:val="auto"/>
        </w:rPr>
        <w:t>.8</w:t>
      </w:r>
      <w:r w:rsidR="007D7CE4" w:rsidRPr="001D3481">
        <w:rPr>
          <w:color w:val="auto"/>
        </w:rPr>
        <w:t>.</w:t>
      </w:r>
      <w:r w:rsidRPr="001D3481">
        <w:rPr>
          <w:color w:val="auto"/>
        </w:rPr>
        <w:t xml:space="preserve"> i </w:t>
      </w:r>
      <w:r w:rsidR="00BF4468" w:rsidRPr="001D3481">
        <w:rPr>
          <w:color w:val="auto"/>
        </w:rPr>
        <w:t>1</w:t>
      </w:r>
      <w:r w:rsidRPr="001D3481">
        <w:rPr>
          <w:color w:val="auto"/>
        </w:rPr>
        <w:t>.9.</w:t>
      </w:r>
      <w:r w:rsidR="00A27611" w:rsidRPr="001D3481">
        <w:rPr>
          <w:color w:val="auto"/>
        </w:rPr>
        <w:t>,</w:t>
      </w:r>
      <w:r w:rsidRPr="001D3481">
        <w:rPr>
          <w:color w:val="auto"/>
        </w:rPr>
        <w:t xml:space="preserve"> umożliwiającym zrealizowanie działań zgodnie ze standardem wymagań kompetencji cyfrowych osób objętych szkoleniem w ramach konkursu</w:t>
      </w:r>
      <w:r w:rsidR="007D7CE4" w:rsidRPr="001D3481">
        <w:rPr>
          <w:color w:val="auto"/>
        </w:rPr>
        <w:t>.</w:t>
      </w:r>
    </w:p>
    <w:p w:rsidR="000520A2" w:rsidRPr="001D3481" w:rsidRDefault="0094667B" w:rsidP="00B409BD">
      <w:pPr>
        <w:pStyle w:val="Akapitzlist"/>
        <w:numPr>
          <w:ilvl w:val="0"/>
          <w:numId w:val="14"/>
        </w:numPr>
        <w:rPr>
          <w:color w:val="auto"/>
        </w:rPr>
      </w:pPr>
      <w:r w:rsidRPr="001D3481">
        <w:rPr>
          <w:color w:val="auto"/>
        </w:rPr>
        <w:t xml:space="preserve">Złoży w terminie wskazanym w głoszeniu konkursu </w:t>
      </w:r>
      <w:r w:rsidR="000520A2" w:rsidRPr="001D3481">
        <w:rPr>
          <w:color w:val="auto"/>
        </w:rPr>
        <w:t xml:space="preserve">wniosek o przyznanie grantu do właściwego </w:t>
      </w:r>
      <w:r w:rsidR="00A040CC" w:rsidRPr="001D3481">
        <w:rPr>
          <w:color w:val="auto"/>
        </w:rPr>
        <w:t>operatora</w:t>
      </w:r>
      <w:r w:rsidRPr="001D3481">
        <w:rPr>
          <w:color w:val="auto"/>
        </w:rPr>
        <w:t>.</w:t>
      </w:r>
    </w:p>
    <w:p w:rsidR="00064A97" w:rsidRPr="001D3481" w:rsidRDefault="00064A97" w:rsidP="00B409BD">
      <w:pPr>
        <w:pStyle w:val="Akapitzlist"/>
        <w:numPr>
          <w:ilvl w:val="0"/>
          <w:numId w:val="14"/>
        </w:numPr>
        <w:rPr>
          <w:color w:val="auto"/>
        </w:rPr>
      </w:pPr>
      <w:r w:rsidRPr="001D3481">
        <w:rPr>
          <w:color w:val="auto"/>
        </w:rPr>
        <w:t xml:space="preserve">Podpisze z właściwym </w:t>
      </w:r>
      <w:r w:rsidR="00A040CC" w:rsidRPr="001D3481">
        <w:rPr>
          <w:color w:val="auto"/>
        </w:rPr>
        <w:t xml:space="preserve">operatorem </w:t>
      </w:r>
      <w:r w:rsidRPr="001D3481">
        <w:rPr>
          <w:color w:val="auto"/>
        </w:rPr>
        <w:t>umowę na realizację mikroprojektu.</w:t>
      </w:r>
    </w:p>
    <w:p w:rsidR="00B409BD" w:rsidRPr="001D3481" w:rsidRDefault="000520A2" w:rsidP="00A32CF0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1D3481">
        <w:rPr>
          <w:color w:val="auto"/>
        </w:rPr>
        <w:t xml:space="preserve">Grant może zostać udzielony wyłącznie na </w:t>
      </w:r>
      <w:r w:rsidR="00881C61" w:rsidRPr="001D3481">
        <w:rPr>
          <w:color w:val="auto"/>
        </w:rPr>
        <w:t xml:space="preserve">działania realizujące cel szczegółowy 5. </w:t>
      </w:r>
      <w:r w:rsidR="0019350B" w:rsidRPr="001D3481">
        <w:rPr>
          <w:color w:val="auto"/>
        </w:rPr>
        <w:t>„</w:t>
      </w:r>
      <w:r w:rsidR="00881C61" w:rsidRPr="001D3481">
        <w:rPr>
          <w:color w:val="auto"/>
        </w:rPr>
        <w:t xml:space="preserve">Zwiększenie stopnia oraz poprawa umiejętności korzystania z </w:t>
      </w:r>
      <w:proofErr w:type="spellStart"/>
      <w:r w:rsidR="00881C61" w:rsidRPr="001D3481">
        <w:rPr>
          <w:color w:val="auto"/>
        </w:rPr>
        <w:t>internetu</w:t>
      </w:r>
      <w:proofErr w:type="spellEnd"/>
      <w:r w:rsidR="00881C61" w:rsidRPr="001D3481">
        <w:rPr>
          <w:color w:val="auto"/>
        </w:rPr>
        <w:t>, w tym z e-usług publicznych</w:t>
      </w:r>
      <w:r w:rsidR="0019350B" w:rsidRPr="001D3481">
        <w:rPr>
          <w:color w:val="auto"/>
        </w:rPr>
        <w:t>”</w:t>
      </w:r>
      <w:r w:rsidR="00881C61" w:rsidRPr="001D3481">
        <w:rPr>
          <w:color w:val="auto"/>
        </w:rPr>
        <w:t>, osi priorytetowej III. Cyfrowe kompetencje społeczeństwa w ramach Programu Operacyjnego Polska Cyfrowa na lata 2014-2020</w:t>
      </w:r>
      <w:r w:rsidR="007D7CE4" w:rsidRPr="001D3481">
        <w:rPr>
          <w:color w:val="auto"/>
        </w:rPr>
        <w:t>.</w:t>
      </w:r>
    </w:p>
    <w:p w:rsidR="00B635D4" w:rsidRPr="001D3481" w:rsidRDefault="000C704A" w:rsidP="00A32CF0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proofErr w:type="spellStart"/>
      <w:r w:rsidRPr="001D3481">
        <w:rPr>
          <w:color w:val="auto"/>
        </w:rPr>
        <w:t>Grantobiorca</w:t>
      </w:r>
      <w:proofErr w:type="spellEnd"/>
      <w:r w:rsidRPr="001D3481">
        <w:rPr>
          <w:color w:val="auto"/>
        </w:rPr>
        <w:t xml:space="preserve"> zobowią</w:t>
      </w:r>
      <w:r w:rsidR="007D7CE4" w:rsidRPr="001D3481">
        <w:rPr>
          <w:color w:val="auto"/>
        </w:rPr>
        <w:t>zany będzie</w:t>
      </w:r>
      <w:r w:rsidRPr="001D3481">
        <w:rPr>
          <w:color w:val="auto"/>
        </w:rPr>
        <w:t xml:space="preserve"> do prze</w:t>
      </w:r>
      <w:r w:rsidR="0019350B" w:rsidRPr="001D3481">
        <w:rPr>
          <w:color w:val="auto"/>
        </w:rPr>
        <w:t>zna</w:t>
      </w:r>
      <w:r w:rsidRPr="001D3481">
        <w:rPr>
          <w:color w:val="auto"/>
        </w:rPr>
        <w:t>czenia</w:t>
      </w:r>
      <w:r w:rsidR="0019350B" w:rsidRPr="001D3481">
        <w:rPr>
          <w:color w:val="auto"/>
        </w:rPr>
        <w:t xml:space="preserve"> dofinansowani</w:t>
      </w:r>
      <w:r w:rsidRPr="001D3481">
        <w:rPr>
          <w:color w:val="auto"/>
        </w:rPr>
        <w:t xml:space="preserve">a </w:t>
      </w:r>
      <w:r w:rsidR="0019350B" w:rsidRPr="001D3481">
        <w:rPr>
          <w:color w:val="auto"/>
        </w:rPr>
        <w:t xml:space="preserve"> </w:t>
      </w:r>
      <w:r w:rsidR="00B635D4" w:rsidRPr="001D3481">
        <w:rPr>
          <w:color w:val="auto"/>
        </w:rPr>
        <w:t>na r</w:t>
      </w:r>
      <w:r w:rsidR="0019350B" w:rsidRPr="001D3481">
        <w:rPr>
          <w:color w:val="auto"/>
        </w:rPr>
        <w:t>ealizację szkoleń skierowanych do osób fizycznych (które ukończyły 25. rok życia), nie posiadających kompetencji cyfrowych lub chcąc</w:t>
      </w:r>
      <w:r w:rsidR="00A27611" w:rsidRPr="001D3481">
        <w:rPr>
          <w:color w:val="auto"/>
        </w:rPr>
        <w:t>ych</w:t>
      </w:r>
      <w:r w:rsidR="0019350B" w:rsidRPr="001D3481">
        <w:rPr>
          <w:color w:val="auto"/>
        </w:rPr>
        <w:t xml:space="preserve"> rozwijać posiadane kompetencje cyfrowe</w:t>
      </w:r>
      <w:r w:rsidR="0010496D" w:rsidRPr="001D3481">
        <w:rPr>
          <w:color w:val="auto"/>
        </w:rPr>
        <w:t>,</w:t>
      </w:r>
      <w:r w:rsidR="0019350B" w:rsidRPr="001D3481">
        <w:rPr>
          <w:color w:val="auto"/>
        </w:rPr>
        <w:t xml:space="preserve"> zamieszkujących na terenie gminy właściwej dla </w:t>
      </w:r>
      <w:proofErr w:type="spellStart"/>
      <w:r w:rsidR="00FB7B07" w:rsidRPr="001D3481">
        <w:rPr>
          <w:color w:val="auto"/>
        </w:rPr>
        <w:t>grantobiorcy</w:t>
      </w:r>
      <w:proofErr w:type="spellEnd"/>
      <w:r w:rsidR="0019350B" w:rsidRPr="001D3481">
        <w:rPr>
          <w:color w:val="auto"/>
        </w:rPr>
        <w:t>.</w:t>
      </w:r>
    </w:p>
    <w:p w:rsidR="0019350B" w:rsidRPr="001D3481" w:rsidRDefault="00B635D4" w:rsidP="00A040CC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1D3481">
        <w:rPr>
          <w:color w:val="auto"/>
        </w:rPr>
        <w:t xml:space="preserve">Szkolenia, o których mowa w pkt. </w:t>
      </w:r>
      <w:r w:rsidR="00BF4468" w:rsidRPr="001D3481">
        <w:rPr>
          <w:color w:val="auto"/>
        </w:rPr>
        <w:t>1</w:t>
      </w:r>
      <w:r w:rsidR="000C704A" w:rsidRPr="001D3481">
        <w:rPr>
          <w:color w:val="auto"/>
        </w:rPr>
        <w:t>.</w:t>
      </w:r>
      <w:r w:rsidRPr="001D3481">
        <w:rPr>
          <w:color w:val="auto"/>
        </w:rPr>
        <w:t>6 będą</w:t>
      </w:r>
      <w:r w:rsidR="0019350B" w:rsidRPr="001D3481">
        <w:rPr>
          <w:color w:val="auto"/>
        </w:rPr>
        <w:t xml:space="preserve"> </w:t>
      </w:r>
      <w:r w:rsidRPr="001D3481">
        <w:rPr>
          <w:color w:val="auto"/>
        </w:rPr>
        <w:t xml:space="preserve">realizowane </w:t>
      </w:r>
      <w:r w:rsidR="00A27611" w:rsidRPr="001D3481">
        <w:rPr>
          <w:color w:val="auto"/>
        </w:rPr>
        <w:t xml:space="preserve">wyłącznie </w:t>
      </w:r>
      <w:r w:rsidR="0019350B" w:rsidRPr="001D3481">
        <w:rPr>
          <w:color w:val="auto"/>
        </w:rPr>
        <w:t xml:space="preserve">w oparciu o przygotowane przez </w:t>
      </w:r>
      <w:r w:rsidR="00A040CC" w:rsidRPr="001D3481">
        <w:rPr>
          <w:color w:val="auto"/>
        </w:rPr>
        <w:t xml:space="preserve">operatora </w:t>
      </w:r>
      <w:r w:rsidR="0019350B" w:rsidRPr="001D3481">
        <w:rPr>
          <w:color w:val="auto"/>
        </w:rPr>
        <w:t>scenariusze zajęć w ramach następujących modułów tematycznych</w:t>
      </w:r>
      <w:r w:rsidRPr="001D3481">
        <w:rPr>
          <w:color w:val="auto"/>
        </w:rPr>
        <w:t>:</w:t>
      </w:r>
      <w:r w:rsidR="002246AD" w:rsidRPr="001D3481">
        <w:rPr>
          <w:color w:val="auto"/>
        </w:rPr>
        <w:t xml:space="preserve"> „Rodzic w Internecie”, „Mój biznes w sieci”, </w:t>
      </w:r>
      <w:r w:rsidR="0019350B" w:rsidRPr="001D3481">
        <w:rPr>
          <w:color w:val="auto"/>
        </w:rPr>
        <w:t xml:space="preserve"> </w:t>
      </w:r>
      <w:r w:rsidR="002246AD" w:rsidRPr="001D3481">
        <w:rPr>
          <w:color w:val="auto"/>
        </w:rPr>
        <w:t>„Moje finanse i transakcje w sieci”, „Działam w sieciach społecznościowych”, „Tworzę własną stronę internetową (blog)”, „Rolnik w sieci”, „Kultura w sieci”</w:t>
      </w:r>
      <w:r w:rsidR="00432701" w:rsidRPr="001D3481">
        <w:rPr>
          <w:color w:val="auto"/>
        </w:rPr>
        <w:t xml:space="preserve">, z wykorzystaniem dostarczonych przez </w:t>
      </w:r>
      <w:r w:rsidR="00A040CC" w:rsidRPr="001D3481">
        <w:rPr>
          <w:color w:val="auto"/>
        </w:rPr>
        <w:t xml:space="preserve">operatora </w:t>
      </w:r>
      <w:r w:rsidR="00432701" w:rsidRPr="001D3481">
        <w:rPr>
          <w:color w:val="auto"/>
        </w:rPr>
        <w:t>materiałów szkoleniowych w formie elektronicznej i online z wykorzystaniem platformy internetowej / e-</w:t>
      </w:r>
      <w:proofErr w:type="spellStart"/>
      <w:r w:rsidR="00432701" w:rsidRPr="001D3481">
        <w:rPr>
          <w:color w:val="auto"/>
        </w:rPr>
        <w:t>lerningowej</w:t>
      </w:r>
      <w:proofErr w:type="spellEnd"/>
      <w:r w:rsidR="00432701" w:rsidRPr="001D3481">
        <w:rPr>
          <w:color w:val="auto"/>
        </w:rPr>
        <w:t>.</w:t>
      </w:r>
    </w:p>
    <w:p w:rsidR="001D3481" w:rsidRPr="001D3481" w:rsidRDefault="00FB7B07" w:rsidP="00A32CF0">
      <w:pPr>
        <w:pStyle w:val="Akapitzlist"/>
        <w:numPr>
          <w:ilvl w:val="0"/>
          <w:numId w:val="33"/>
        </w:numPr>
        <w:ind w:hanging="562"/>
        <w:rPr>
          <w:rFonts w:asciiTheme="minorHAnsi" w:hAnsiTheme="minorHAnsi"/>
          <w:color w:val="auto"/>
          <w:szCs w:val="24"/>
        </w:rPr>
      </w:pPr>
      <w:proofErr w:type="spellStart"/>
      <w:r w:rsidRPr="001D3481">
        <w:rPr>
          <w:rFonts w:asciiTheme="minorHAnsi" w:hAnsiTheme="minorHAnsi" w:cs="Arial"/>
          <w:color w:val="auto"/>
          <w:szCs w:val="24"/>
          <w:shd w:val="clear" w:color="auto" w:fill="FFFFFF"/>
        </w:rPr>
        <w:t>grantobiorca</w:t>
      </w:r>
      <w:proofErr w:type="spellEnd"/>
      <w:r w:rsidRPr="001D3481">
        <w:rPr>
          <w:rFonts w:asciiTheme="minorHAnsi" w:hAnsiTheme="minorHAnsi" w:cs="Arial"/>
          <w:color w:val="auto"/>
          <w:szCs w:val="24"/>
          <w:shd w:val="clear" w:color="auto" w:fill="FFFFFF"/>
        </w:rPr>
        <w:t xml:space="preserve"> </w:t>
      </w:r>
      <w:r w:rsidR="001D3481" w:rsidRPr="001D3481">
        <w:rPr>
          <w:rFonts w:asciiTheme="minorHAnsi" w:hAnsiTheme="minorHAnsi" w:cs="Arial"/>
          <w:color w:val="auto"/>
          <w:szCs w:val="24"/>
          <w:shd w:val="clear" w:color="auto" w:fill="FFFFFF"/>
        </w:rPr>
        <w:t>musi zapewnić, że każda osoba przeszkolona w ramach mikroprojektu uzyska co najmniej podstawowy poziom kompetencji cyfrowych w toku szkoleń tematycznych  wymienionych w pkt. 7.</w:t>
      </w:r>
    </w:p>
    <w:p w:rsidR="001D3481" w:rsidRDefault="001D3481" w:rsidP="001D3481">
      <w:pPr>
        <w:pStyle w:val="Akapitzlist"/>
        <w:numPr>
          <w:ilvl w:val="0"/>
          <w:numId w:val="33"/>
        </w:numPr>
        <w:shd w:val="clear" w:color="auto" w:fill="FFFFFF"/>
        <w:spacing w:after="0" w:line="224" w:lineRule="atLeast"/>
        <w:ind w:right="0" w:hanging="562"/>
        <w:rPr>
          <w:rFonts w:asciiTheme="minorHAnsi" w:eastAsia="Times New Roman" w:hAnsiTheme="minorHAnsi" w:cs="Arial"/>
          <w:color w:val="auto"/>
          <w:szCs w:val="24"/>
        </w:rPr>
      </w:pPr>
      <w:r w:rsidRPr="001D3481">
        <w:rPr>
          <w:rFonts w:asciiTheme="minorHAnsi" w:eastAsia="Times New Roman" w:hAnsiTheme="minorHAnsi" w:cs="Arial"/>
          <w:color w:val="auto"/>
          <w:szCs w:val="24"/>
        </w:rPr>
        <w:t>Umiejętność wykonania </w:t>
      </w:r>
      <w:r w:rsidRPr="001D3481">
        <w:rPr>
          <w:rFonts w:asciiTheme="minorHAnsi" w:eastAsia="Times New Roman" w:hAnsiTheme="minorHAnsi" w:cs="Arial"/>
          <w:bCs/>
          <w:color w:val="auto"/>
          <w:szCs w:val="24"/>
        </w:rPr>
        <w:t>co najmniej jednej czynności</w:t>
      </w:r>
      <w:r w:rsidRPr="001D3481">
        <w:rPr>
          <w:rFonts w:asciiTheme="minorHAnsi" w:eastAsia="Times New Roman" w:hAnsiTheme="minorHAnsi" w:cs="Arial"/>
          <w:color w:val="auto"/>
          <w:szCs w:val="24"/>
        </w:rPr>
        <w:t> w ramach każdej kategorii jest wystarczająca do uznania posiadania </w:t>
      </w:r>
      <w:r w:rsidRPr="001D3481">
        <w:rPr>
          <w:rFonts w:asciiTheme="minorHAnsi" w:eastAsia="Times New Roman" w:hAnsiTheme="minorHAnsi" w:cs="Arial"/>
          <w:bCs/>
          <w:color w:val="auto"/>
          <w:szCs w:val="24"/>
        </w:rPr>
        <w:t>podstawowych kompetencji cyfrowych</w:t>
      </w:r>
      <w:r>
        <w:rPr>
          <w:rFonts w:asciiTheme="minorHAnsi" w:eastAsia="Times New Roman" w:hAnsiTheme="minorHAnsi" w:cs="Arial"/>
          <w:color w:val="auto"/>
          <w:szCs w:val="24"/>
        </w:rPr>
        <w:t>:</w:t>
      </w:r>
    </w:p>
    <w:p w:rsidR="001D3481" w:rsidRPr="001D3481" w:rsidRDefault="001D3481" w:rsidP="001D3481">
      <w:pPr>
        <w:pStyle w:val="Akapitzlist"/>
        <w:numPr>
          <w:ilvl w:val="1"/>
          <w:numId w:val="33"/>
        </w:numPr>
        <w:spacing w:line="276" w:lineRule="auto"/>
        <w:rPr>
          <w:szCs w:val="24"/>
        </w:rPr>
      </w:pPr>
      <w:r w:rsidRPr="001D3481">
        <w:rPr>
          <w:szCs w:val="24"/>
        </w:rPr>
        <w:t>UMIEJĘTNOŚCI INFORMACYJNE: Kopiowanie lub przenoszenie pliku, folderu ; Korzystanie z przestrzeni dyskowej w Internecie; Wyszukiwanie informacji na stronach administracji publicznej; Wyszukiwanie informacji o towarach, usługach; Wyszukiwanie informacji związanych ze zdrowiem</w:t>
      </w:r>
    </w:p>
    <w:p w:rsidR="001D3481" w:rsidRPr="001D3481" w:rsidRDefault="001D3481" w:rsidP="001D3481">
      <w:pPr>
        <w:pStyle w:val="Akapitzlist"/>
        <w:numPr>
          <w:ilvl w:val="1"/>
          <w:numId w:val="33"/>
        </w:numPr>
        <w:spacing w:line="276" w:lineRule="auto"/>
        <w:rPr>
          <w:szCs w:val="24"/>
        </w:rPr>
      </w:pPr>
      <w:r w:rsidRPr="001D3481">
        <w:rPr>
          <w:szCs w:val="24"/>
        </w:rPr>
        <w:t xml:space="preserve">UMIEJĘTNOŚCI KOMUNIKACYJNE: Wysyłanie, odbieranie poczty elektronicznej; Korzystanie z serwisów społecznościowych; Telefonowanie przez </w:t>
      </w:r>
      <w:proofErr w:type="spellStart"/>
      <w:r w:rsidRPr="001D3481">
        <w:rPr>
          <w:szCs w:val="24"/>
        </w:rPr>
        <w:t>internet</w:t>
      </w:r>
      <w:proofErr w:type="spellEnd"/>
      <w:r w:rsidRPr="001D3481">
        <w:rPr>
          <w:szCs w:val="24"/>
        </w:rPr>
        <w:t xml:space="preserve"> i </w:t>
      </w:r>
      <w:proofErr w:type="spellStart"/>
      <w:r w:rsidR="00FB7B07">
        <w:rPr>
          <w:szCs w:val="24"/>
        </w:rPr>
        <w:t>v</w:t>
      </w:r>
      <w:r w:rsidRPr="001D3481">
        <w:rPr>
          <w:szCs w:val="24"/>
        </w:rPr>
        <w:t>ideorozmowy</w:t>
      </w:r>
      <w:proofErr w:type="spellEnd"/>
      <w:r w:rsidRPr="001D3481">
        <w:rPr>
          <w:szCs w:val="24"/>
        </w:rPr>
        <w:t xml:space="preserve"> przez Internet; Umieszczanie na stronie internetowej stworzonych przez siebie tekstów, zdjęć, muzyki, filmów, oprogramowania</w:t>
      </w:r>
    </w:p>
    <w:p w:rsidR="001D3481" w:rsidRPr="001D3481" w:rsidRDefault="001D3481" w:rsidP="001D3481">
      <w:pPr>
        <w:pStyle w:val="Akapitzlist"/>
        <w:numPr>
          <w:ilvl w:val="1"/>
          <w:numId w:val="33"/>
        </w:numPr>
        <w:tabs>
          <w:tab w:val="left" w:pos="2776"/>
        </w:tabs>
        <w:spacing w:line="276" w:lineRule="auto"/>
        <w:rPr>
          <w:szCs w:val="24"/>
        </w:rPr>
      </w:pPr>
      <w:r w:rsidRPr="001D3481">
        <w:rPr>
          <w:szCs w:val="24"/>
        </w:rPr>
        <w:t xml:space="preserve">UMIEJĘTNOŚCI ROZWIĄZYWANIA PROBLEMÓW: Przenoszenie plików między komputerami / urządzeniami; Instalowanie oprogramowania lub aplikacji; Zmienianie ustawień dowolnego oprogramowania </w:t>
      </w:r>
    </w:p>
    <w:p w:rsidR="001D3481" w:rsidRPr="001D3481" w:rsidRDefault="001D3481" w:rsidP="001D3481">
      <w:pPr>
        <w:pStyle w:val="Akapitzlist"/>
        <w:numPr>
          <w:ilvl w:val="1"/>
          <w:numId w:val="33"/>
        </w:numPr>
        <w:spacing w:line="276" w:lineRule="auto"/>
        <w:rPr>
          <w:szCs w:val="24"/>
        </w:rPr>
      </w:pPr>
      <w:r w:rsidRPr="001D3481">
        <w:rPr>
          <w:szCs w:val="24"/>
        </w:rPr>
        <w:t xml:space="preserve">UMIEJĘTNOŚCI ZWIĄZANE Z OPROGRAMOWANIEM: Korzystanie z procesorów tekstu; Korzystanie z arkuszy kalkulacyjnych; Korzystanie z oprogramowania do edytowania zdjęć, plików video lub audio </w:t>
      </w:r>
    </w:p>
    <w:p w:rsidR="001D3481" w:rsidRPr="001D3481" w:rsidRDefault="001D3481" w:rsidP="001D3481">
      <w:pPr>
        <w:pStyle w:val="Akapitzlist"/>
        <w:numPr>
          <w:ilvl w:val="1"/>
          <w:numId w:val="33"/>
        </w:numPr>
        <w:spacing w:line="276" w:lineRule="auto"/>
      </w:pPr>
      <w:r w:rsidRPr="001D3481">
        <w:rPr>
          <w:szCs w:val="24"/>
        </w:rPr>
        <w:t xml:space="preserve">UMIEJĘTNOŚĆ KORZYSTANIA Z USŁUG PUBLICZNYCH: Założenie konta w </w:t>
      </w:r>
      <w:proofErr w:type="spellStart"/>
      <w:r w:rsidRPr="001D3481">
        <w:rPr>
          <w:szCs w:val="24"/>
        </w:rPr>
        <w:t>ePUAP</w:t>
      </w:r>
      <w:proofErr w:type="spellEnd"/>
      <w:r w:rsidRPr="001D3481">
        <w:rPr>
          <w:szCs w:val="24"/>
        </w:rPr>
        <w:t xml:space="preserve"> i profilu zaufanego; Wykorzystanie profilu zaufanego</w:t>
      </w:r>
    </w:p>
    <w:p w:rsidR="007D7CE4" w:rsidRPr="001D3481" w:rsidRDefault="007D7CE4" w:rsidP="00A32CF0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1D3481">
        <w:rPr>
          <w:color w:val="auto"/>
        </w:rPr>
        <w:t>W ramach składane</w:t>
      </w:r>
      <w:r w:rsidR="0010496D" w:rsidRPr="001D3481">
        <w:rPr>
          <w:color w:val="auto"/>
        </w:rPr>
        <w:t xml:space="preserve">go wniosku o udzielenie grantu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będzie zobowiązany zadeklarować oferowane w ramach m</w:t>
      </w:r>
      <w:r w:rsidR="00A27611" w:rsidRPr="001D3481">
        <w:rPr>
          <w:color w:val="auto"/>
        </w:rPr>
        <w:t xml:space="preserve">ikroprojektu moduły szkoleniowe, </w:t>
      </w:r>
      <w:r w:rsidRPr="001D3481">
        <w:rPr>
          <w:color w:val="auto"/>
        </w:rPr>
        <w:t xml:space="preserve">wskazać </w:t>
      </w:r>
      <w:r w:rsidR="00A27611" w:rsidRPr="001D3481">
        <w:rPr>
          <w:color w:val="auto"/>
        </w:rPr>
        <w:t>liczbę</w:t>
      </w:r>
      <w:r w:rsidRPr="001D3481">
        <w:rPr>
          <w:color w:val="auto"/>
        </w:rPr>
        <w:t xml:space="preserve"> osób, które obejmie szkoleniami </w:t>
      </w:r>
      <w:r w:rsidR="0010496D" w:rsidRPr="001D3481">
        <w:rPr>
          <w:color w:val="auto"/>
        </w:rPr>
        <w:t>oraz</w:t>
      </w:r>
      <w:r w:rsidRPr="001D3481">
        <w:rPr>
          <w:color w:val="auto"/>
        </w:rPr>
        <w:t xml:space="preserve"> łączną</w:t>
      </w:r>
      <w:r w:rsidR="00A27611" w:rsidRPr="001D3481">
        <w:rPr>
          <w:color w:val="auto"/>
        </w:rPr>
        <w:t xml:space="preserve"> liczbę zrealizowanych szkoleń, mając na uwadze poniższe wymagania:</w:t>
      </w:r>
    </w:p>
    <w:p w:rsidR="00432701" w:rsidRPr="001D3481" w:rsidRDefault="00432701" w:rsidP="00432701">
      <w:pPr>
        <w:pStyle w:val="Akapitzlist"/>
        <w:numPr>
          <w:ilvl w:val="0"/>
          <w:numId w:val="17"/>
        </w:numPr>
        <w:rPr>
          <w:color w:val="auto"/>
        </w:rPr>
      </w:pPr>
      <w:r w:rsidRPr="001D3481">
        <w:rPr>
          <w:color w:val="auto"/>
          <w:szCs w:val="24"/>
        </w:rPr>
        <w:t>koszt szkolenia jednej osoby może wynosić maksymalnie 560</w:t>
      </w:r>
      <w:r w:rsidR="00A040CC">
        <w:rPr>
          <w:color w:val="auto"/>
          <w:szCs w:val="24"/>
        </w:rPr>
        <w:t>,00</w:t>
      </w:r>
      <w:r w:rsidRPr="001D3481">
        <w:rPr>
          <w:color w:val="auto"/>
          <w:szCs w:val="24"/>
        </w:rPr>
        <w:t xml:space="preserve"> </w:t>
      </w:r>
      <w:r w:rsidR="00A040CC">
        <w:rPr>
          <w:color w:val="auto"/>
          <w:szCs w:val="24"/>
        </w:rPr>
        <w:t>PLN</w:t>
      </w:r>
      <w:r w:rsidRPr="001D3481">
        <w:rPr>
          <w:color w:val="auto"/>
          <w:szCs w:val="24"/>
        </w:rPr>
        <w:t xml:space="preserve"> </w:t>
      </w:r>
    </w:p>
    <w:p w:rsidR="00432701" w:rsidRPr="001D3481" w:rsidRDefault="00FB7B07" w:rsidP="00432701">
      <w:pPr>
        <w:pStyle w:val="Akapitzlist"/>
        <w:numPr>
          <w:ilvl w:val="0"/>
          <w:numId w:val="17"/>
        </w:numPr>
        <w:spacing w:after="200" w:line="276" w:lineRule="auto"/>
        <w:ind w:right="0"/>
        <w:rPr>
          <w:color w:val="auto"/>
          <w:szCs w:val="24"/>
        </w:rPr>
      </w:pPr>
      <w:proofErr w:type="spellStart"/>
      <w:r w:rsidRPr="001D3481">
        <w:rPr>
          <w:color w:val="auto"/>
          <w:szCs w:val="24"/>
        </w:rPr>
        <w:t>grantobiorca</w:t>
      </w:r>
      <w:proofErr w:type="spellEnd"/>
      <w:r w:rsidRPr="001D3481">
        <w:rPr>
          <w:color w:val="auto"/>
          <w:szCs w:val="24"/>
        </w:rPr>
        <w:t xml:space="preserve"> </w:t>
      </w:r>
      <w:r w:rsidR="00432701" w:rsidRPr="001D3481">
        <w:rPr>
          <w:color w:val="auto"/>
          <w:szCs w:val="24"/>
        </w:rPr>
        <w:t>może wnioskować o grant w wysokości 15</w:t>
      </w:r>
      <w:r w:rsidR="00A040CC">
        <w:rPr>
          <w:color w:val="auto"/>
          <w:szCs w:val="24"/>
        </w:rPr>
        <w:t> </w:t>
      </w:r>
      <w:r w:rsidR="00432701" w:rsidRPr="001D3481">
        <w:rPr>
          <w:color w:val="auto"/>
          <w:szCs w:val="24"/>
        </w:rPr>
        <w:t>000</w:t>
      </w:r>
      <w:r w:rsidR="00A040CC">
        <w:rPr>
          <w:color w:val="auto"/>
          <w:szCs w:val="24"/>
        </w:rPr>
        <w:t>,00</w:t>
      </w:r>
      <w:r w:rsidR="00432701" w:rsidRPr="001D3481">
        <w:rPr>
          <w:color w:val="auto"/>
          <w:szCs w:val="24"/>
        </w:rPr>
        <w:t xml:space="preserve"> – 150</w:t>
      </w:r>
      <w:r w:rsidR="00A040CC">
        <w:rPr>
          <w:color w:val="auto"/>
          <w:szCs w:val="24"/>
        </w:rPr>
        <w:t> </w:t>
      </w:r>
      <w:r w:rsidR="00432701" w:rsidRPr="001D3481">
        <w:rPr>
          <w:color w:val="auto"/>
          <w:szCs w:val="24"/>
        </w:rPr>
        <w:t>000</w:t>
      </w:r>
      <w:r w:rsidR="00A040CC">
        <w:rPr>
          <w:color w:val="auto"/>
          <w:szCs w:val="24"/>
        </w:rPr>
        <w:t>,00</w:t>
      </w:r>
      <w:r w:rsidR="00432701" w:rsidRPr="001D3481">
        <w:rPr>
          <w:color w:val="auto"/>
          <w:szCs w:val="24"/>
        </w:rPr>
        <w:t xml:space="preserve"> </w:t>
      </w:r>
      <w:r w:rsidR="00A040CC">
        <w:rPr>
          <w:color w:val="auto"/>
          <w:szCs w:val="24"/>
        </w:rPr>
        <w:t>PLN</w:t>
      </w:r>
      <w:r w:rsidR="00432701" w:rsidRPr="001D3481">
        <w:rPr>
          <w:color w:val="auto"/>
          <w:szCs w:val="24"/>
        </w:rPr>
        <w:t>. Szacowana wartość grantu wynika z deklarowanej liczby osób do przeszkolenia pomnożonej przez maksymalny koszt szkolenia jednej osoby, wynoszący 560</w:t>
      </w:r>
      <w:r w:rsidR="00A040CC">
        <w:rPr>
          <w:color w:val="auto"/>
          <w:szCs w:val="24"/>
        </w:rPr>
        <w:t>,00</w:t>
      </w:r>
      <w:r w:rsidR="00432701" w:rsidRPr="001D3481">
        <w:rPr>
          <w:color w:val="auto"/>
          <w:szCs w:val="24"/>
        </w:rPr>
        <w:t xml:space="preserve"> </w:t>
      </w:r>
      <w:r w:rsidR="00A040CC">
        <w:rPr>
          <w:color w:val="auto"/>
          <w:szCs w:val="24"/>
        </w:rPr>
        <w:t>PLN</w:t>
      </w:r>
      <w:r w:rsidR="00432701" w:rsidRPr="001D3481">
        <w:rPr>
          <w:color w:val="auto"/>
          <w:szCs w:val="24"/>
        </w:rPr>
        <w:t xml:space="preserve">. Współczynnik ten będzie również podstawą rozliczenia projektu, tj. w przypadku przeszkolenia przez </w:t>
      </w:r>
      <w:proofErr w:type="spellStart"/>
      <w:r w:rsidR="00432701" w:rsidRPr="001D3481">
        <w:rPr>
          <w:color w:val="auto"/>
          <w:szCs w:val="24"/>
        </w:rPr>
        <w:t>grantobiorcę</w:t>
      </w:r>
      <w:proofErr w:type="spellEnd"/>
      <w:r w:rsidR="00432701" w:rsidRPr="001D3481">
        <w:rPr>
          <w:color w:val="auto"/>
          <w:szCs w:val="24"/>
        </w:rPr>
        <w:t xml:space="preserve"> mniejszej liczby osób, oddaje on proporcjonalną do niej kwotę grantu. </w:t>
      </w:r>
    </w:p>
    <w:p w:rsidR="00432701" w:rsidRPr="001D3481" w:rsidRDefault="00432701" w:rsidP="00432701">
      <w:pPr>
        <w:pStyle w:val="Akapitzlist"/>
        <w:numPr>
          <w:ilvl w:val="0"/>
          <w:numId w:val="17"/>
        </w:numPr>
        <w:rPr>
          <w:color w:val="auto"/>
        </w:rPr>
      </w:pPr>
      <w:proofErr w:type="spellStart"/>
      <w:r w:rsidRPr="001D3481">
        <w:rPr>
          <w:color w:val="auto"/>
          <w:szCs w:val="24"/>
        </w:rPr>
        <w:t>Grantobiorca</w:t>
      </w:r>
      <w:proofErr w:type="spellEnd"/>
      <w:r w:rsidRPr="001D3481">
        <w:rPr>
          <w:color w:val="auto"/>
          <w:szCs w:val="24"/>
        </w:rPr>
        <w:t xml:space="preserve"> musi zachować standard szkoleniowy: maksymalnie 12 osobowa grupa przypadająca na 1 prowadzącego</w:t>
      </w:r>
    </w:p>
    <w:p w:rsidR="001D3481" w:rsidRPr="001D3481" w:rsidRDefault="001D3481" w:rsidP="001D3481">
      <w:pPr>
        <w:pStyle w:val="Akapitzlist"/>
        <w:numPr>
          <w:ilvl w:val="0"/>
          <w:numId w:val="17"/>
        </w:numPr>
        <w:shd w:val="clear" w:color="auto" w:fill="FFFFFF"/>
        <w:spacing w:line="132" w:lineRule="atLeast"/>
        <w:rPr>
          <w:rFonts w:asciiTheme="minorHAnsi" w:hAnsiTheme="minorHAnsi"/>
          <w:color w:val="auto"/>
          <w:szCs w:val="24"/>
        </w:rPr>
      </w:pPr>
      <w:r w:rsidRPr="001D3481">
        <w:rPr>
          <w:rFonts w:asciiTheme="minorHAnsi" w:eastAsia="Times New Roman" w:hAnsiTheme="minorHAnsi" w:cs="Arial"/>
          <w:color w:val="auto"/>
          <w:szCs w:val="24"/>
        </w:rPr>
        <w:t xml:space="preserve">Zadaniem </w:t>
      </w:r>
      <w:proofErr w:type="spellStart"/>
      <w:r w:rsidR="00A040CC" w:rsidRPr="001D3481">
        <w:rPr>
          <w:rFonts w:asciiTheme="minorHAnsi" w:eastAsia="Times New Roman" w:hAnsiTheme="minorHAnsi" w:cs="Arial"/>
          <w:color w:val="auto"/>
          <w:szCs w:val="24"/>
        </w:rPr>
        <w:t>grantobiorcy</w:t>
      </w:r>
      <w:proofErr w:type="spellEnd"/>
      <w:r w:rsidR="00A040CC" w:rsidRPr="001D3481">
        <w:rPr>
          <w:rFonts w:asciiTheme="minorHAnsi" w:eastAsia="Times New Roman" w:hAnsiTheme="minorHAnsi" w:cs="Arial"/>
          <w:color w:val="auto"/>
          <w:szCs w:val="24"/>
        </w:rPr>
        <w:t xml:space="preserve"> </w:t>
      </w:r>
      <w:r w:rsidRPr="001D3481">
        <w:rPr>
          <w:rFonts w:asciiTheme="minorHAnsi" w:eastAsia="Times New Roman" w:hAnsiTheme="minorHAnsi" w:cs="Arial"/>
          <w:color w:val="auto"/>
          <w:szCs w:val="24"/>
        </w:rPr>
        <w:t>jest zrealizowanie celu ujętego w opisie każdego z modułów</w:t>
      </w:r>
      <w:r>
        <w:rPr>
          <w:rFonts w:asciiTheme="minorHAnsi" w:eastAsia="Times New Roman" w:hAnsiTheme="minorHAnsi" w:cs="Arial"/>
          <w:color w:val="auto"/>
          <w:szCs w:val="24"/>
        </w:rPr>
        <w:t xml:space="preserve"> tematycznych</w:t>
      </w:r>
      <w:r w:rsidRPr="001D3481">
        <w:rPr>
          <w:rFonts w:asciiTheme="minorHAnsi" w:eastAsia="Times New Roman" w:hAnsiTheme="minorHAnsi" w:cs="Arial"/>
          <w:color w:val="auto"/>
          <w:szCs w:val="24"/>
        </w:rPr>
        <w:t xml:space="preserve">, </w:t>
      </w:r>
      <w:r>
        <w:rPr>
          <w:rFonts w:asciiTheme="minorHAnsi" w:eastAsia="Times New Roman" w:hAnsiTheme="minorHAnsi" w:cs="Arial"/>
          <w:color w:val="auto"/>
          <w:szCs w:val="24"/>
        </w:rPr>
        <w:t>na podstawie</w:t>
      </w:r>
      <w:r w:rsidRPr="001D3481">
        <w:rPr>
          <w:rFonts w:asciiTheme="minorHAnsi" w:eastAsia="Times New Roman" w:hAnsiTheme="minorHAnsi" w:cs="Arial"/>
          <w:color w:val="auto"/>
          <w:szCs w:val="24"/>
        </w:rPr>
        <w:t xml:space="preserve"> scenariusz</w:t>
      </w:r>
      <w:r>
        <w:rPr>
          <w:rFonts w:asciiTheme="minorHAnsi" w:eastAsia="Times New Roman" w:hAnsiTheme="minorHAnsi" w:cs="Arial"/>
          <w:color w:val="auto"/>
          <w:szCs w:val="24"/>
        </w:rPr>
        <w:t>y</w:t>
      </w:r>
      <w:r w:rsidRPr="001D3481">
        <w:rPr>
          <w:rFonts w:asciiTheme="minorHAnsi" w:eastAsia="Times New Roman" w:hAnsiTheme="minorHAnsi" w:cs="Arial"/>
          <w:color w:val="auto"/>
          <w:szCs w:val="24"/>
        </w:rPr>
        <w:t xml:space="preserve"> i materiał</w:t>
      </w:r>
      <w:r>
        <w:rPr>
          <w:rFonts w:asciiTheme="minorHAnsi" w:eastAsia="Times New Roman" w:hAnsiTheme="minorHAnsi" w:cs="Arial"/>
          <w:color w:val="auto"/>
          <w:szCs w:val="24"/>
        </w:rPr>
        <w:t>ów</w:t>
      </w:r>
      <w:r w:rsidRPr="001D3481">
        <w:rPr>
          <w:rFonts w:asciiTheme="minorHAnsi" w:eastAsia="Times New Roman" w:hAnsiTheme="minorHAnsi" w:cs="Arial"/>
          <w:color w:val="auto"/>
          <w:szCs w:val="24"/>
        </w:rPr>
        <w:t xml:space="preserve"> dla uczestników przygotowan</w:t>
      </w:r>
      <w:r>
        <w:rPr>
          <w:rFonts w:asciiTheme="minorHAnsi" w:eastAsia="Times New Roman" w:hAnsiTheme="minorHAnsi" w:cs="Arial"/>
          <w:color w:val="auto"/>
          <w:szCs w:val="24"/>
        </w:rPr>
        <w:t>ych</w:t>
      </w:r>
      <w:r w:rsidRPr="001D3481">
        <w:rPr>
          <w:rFonts w:asciiTheme="minorHAnsi" w:eastAsia="Times New Roman" w:hAnsiTheme="minorHAnsi" w:cs="Arial"/>
          <w:color w:val="auto"/>
          <w:szCs w:val="24"/>
        </w:rPr>
        <w:t xml:space="preserve"> przez </w:t>
      </w:r>
      <w:r w:rsidR="00A040CC" w:rsidRPr="001D3481">
        <w:rPr>
          <w:rFonts w:asciiTheme="minorHAnsi" w:eastAsia="Times New Roman" w:hAnsiTheme="minorHAnsi" w:cs="Arial"/>
          <w:color w:val="auto"/>
          <w:szCs w:val="24"/>
        </w:rPr>
        <w:t>operatora</w:t>
      </w:r>
    </w:p>
    <w:p w:rsidR="002246AD" w:rsidRPr="001D3481" w:rsidRDefault="002246AD" w:rsidP="00432701">
      <w:pPr>
        <w:pStyle w:val="Akapitzlist"/>
        <w:numPr>
          <w:ilvl w:val="0"/>
          <w:numId w:val="17"/>
        </w:numPr>
        <w:rPr>
          <w:color w:val="auto"/>
        </w:rPr>
      </w:pPr>
      <w:r w:rsidRPr="001D3481">
        <w:rPr>
          <w:color w:val="auto"/>
        </w:rPr>
        <w:t xml:space="preserve">W celu realizacji mikroprojektu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wskaże instruktorów, których zaangażuje do prowadzenia na obszarze jego działania szkoleń rozwijających kompetencje cyfrowe osób dorosłych.</w:t>
      </w:r>
    </w:p>
    <w:p w:rsidR="00D73898" w:rsidRPr="001D3481" w:rsidRDefault="00D73898" w:rsidP="00A32CF0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1D3481">
        <w:rPr>
          <w:color w:val="auto"/>
        </w:rPr>
        <w:t>Liczba instruktorów musi być uzasadniona i adekwatna do zakresu realizowanego wsparcia.</w:t>
      </w:r>
    </w:p>
    <w:p w:rsidR="00D73898" w:rsidRPr="001D3481" w:rsidRDefault="00D73898" w:rsidP="00A32CF0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1D3481">
        <w:rPr>
          <w:color w:val="auto"/>
        </w:rPr>
        <w:t xml:space="preserve">Instruktorzy wskazani przez </w:t>
      </w:r>
      <w:proofErr w:type="spellStart"/>
      <w:r w:rsidR="00A040CC" w:rsidRPr="001D3481">
        <w:rPr>
          <w:color w:val="auto"/>
        </w:rPr>
        <w:t>grantobiorcę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muszą spełniać następujące kryteria:</w:t>
      </w:r>
    </w:p>
    <w:p w:rsidR="00D73898" w:rsidRPr="001D3481" w:rsidRDefault="00D73898" w:rsidP="00D73898">
      <w:pPr>
        <w:pStyle w:val="Akapitzlist"/>
        <w:numPr>
          <w:ilvl w:val="0"/>
          <w:numId w:val="18"/>
        </w:numPr>
        <w:ind w:left="1418" w:hanging="425"/>
        <w:rPr>
          <w:color w:val="auto"/>
        </w:rPr>
      </w:pPr>
      <w:r w:rsidRPr="001D3481">
        <w:rPr>
          <w:color w:val="auto"/>
        </w:rPr>
        <w:t>D</w:t>
      </w:r>
      <w:r w:rsidR="00147BB8" w:rsidRPr="001D3481">
        <w:rPr>
          <w:color w:val="auto"/>
        </w:rPr>
        <w:t>oświadczeni</w:t>
      </w:r>
      <w:r w:rsidRPr="001D3481">
        <w:rPr>
          <w:color w:val="auto"/>
        </w:rPr>
        <w:t xml:space="preserve">e </w:t>
      </w:r>
      <w:r w:rsidR="00147BB8" w:rsidRPr="001D3481">
        <w:rPr>
          <w:color w:val="auto"/>
        </w:rPr>
        <w:t>w prowadzeniu lekcji, zajęć, szkoleń lub warsztatów w wymiarze minimum 50 godzin szkoleniowych w ciągu ostatnich 3 lat</w:t>
      </w:r>
      <w:r w:rsidRPr="001D3481">
        <w:rPr>
          <w:color w:val="auto"/>
        </w:rPr>
        <w:t>.</w:t>
      </w:r>
    </w:p>
    <w:p w:rsidR="00D73898" w:rsidRPr="001D3481" w:rsidRDefault="00D73898" w:rsidP="00D73898">
      <w:pPr>
        <w:pStyle w:val="Akapitzlist"/>
        <w:numPr>
          <w:ilvl w:val="0"/>
          <w:numId w:val="18"/>
        </w:numPr>
        <w:ind w:left="1418" w:hanging="425"/>
        <w:rPr>
          <w:color w:val="auto"/>
        </w:rPr>
      </w:pPr>
      <w:r w:rsidRPr="001D3481">
        <w:rPr>
          <w:color w:val="auto"/>
        </w:rPr>
        <w:t xml:space="preserve">Posiadanie </w:t>
      </w:r>
      <w:r w:rsidR="00147BB8" w:rsidRPr="001D3481">
        <w:rPr>
          <w:color w:val="auto"/>
        </w:rPr>
        <w:t>kompetencji metodycznych (</w:t>
      </w:r>
      <w:r w:rsidR="00DA1C83" w:rsidRPr="001D3481">
        <w:rPr>
          <w:color w:val="auto"/>
        </w:rPr>
        <w:t xml:space="preserve">umiejętność budowania relacji z uczestnikami szkolenia i między nimi, umiejętność dostosowania metod szkolenia do potrzeb uczestników grupy, umiejętność wykorzystania scenariuszy </w:t>
      </w:r>
      <w:r w:rsidR="00B3320F" w:rsidRPr="001D3481">
        <w:rPr>
          <w:color w:val="auto"/>
        </w:rPr>
        <w:t>szkoleń w procesie dydaktycznym,</w:t>
      </w:r>
      <w:r w:rsidR="00DA1C83" w:rsidRPr="001D3481">
        <w:rPr>
          <w:color w:val="auto"/>
        </w:rPr>
        <w:t xml:space="preserve"> umiejętność motywowania uczestników</w:t>
      </w:r>
      <w:r w:rsidR="00147BB8" w:rsidRPr="001D3481">
        <w:rPr>
          <w:color w:val="auto"/>
        </w:rPr>
        <w:t>)</w:t>
      </w:r>
      <w:r w:rsidRPr="001D3481">
        <w:rPr>
          <w:color w:val="auto"/>
        </w:rPr>
        <w:t>.</w:t>
      </w:r>
    </w:p>
    <w:p w:rsidR="00147BB8" w:rsidRPr="001D3481" w:rsidRDefault="00D73898" w:rsidP="00D73898">
      <w:pPr>
        <w:pStyle w:val="Akapitzlist"/>
        <w:numPr>
          <w:ilvl w:val="0"/>
          <w:numId w:val="18"/>
        </w:numPr>
        <w:ind w:left="1418" w:hanging="425"/>
        <w:rPr>
          <w:color w:val="auto"/>
        </w:rPr>
      </w:pPr>
      <w:r w:rsidRPr="001D3481">
        <w:rPr>
          <w:color w:val="auto"/>
        </w:rPr>
        <w:t>Posiadanie</w:t>
      </w:r>
      <w:r w:rsidR="00147BB8" w:rsidRPr="001D3481">
        <w:rPr>
          <w:color w:val="auto"/>
        </w:rPr>
        <w:t xml:space="preserve"> </w:t>
      </w:r>
      <w:r w:rsidR="00147BB8" w:rsidRPr="001D3481">
        <w:rPr>
          <w:color w:val="auto"/>
          <w:u w:val="single"/>
        </w:rPr>
        <w:t>kompetencji technicznych</w:t>
      </w:r>
      <w:r w:rsidR="00147BB8" w:rsidRPr="001D3481">
        <w:rPr>
          <w:color w:val="auto"/>
        </w:rPr>
        <w:t xml:space="preserve"> (</w:t>
      </w:r>
      <w:r w:rsidR="00B3320F" w:rsidRPr="001D3481">
        <w:rPr>
          <w:color w:val="auto"/>
        </w:rPr>
        <w:t xml:space="preserve">obsługi komputera, urządzeń peryferyjnych oraz urządzeń mobilnych, korzystania z </w:t>
      </w:r>
      <w:proofErr w:type="spellStart"/>
      <w:r w:rsidR="00B3320F" w:rsidRPr="001D3481">
        <w:rPr>
          <w:color w:val="auto"/>
        </w:rPr>
        <w:t>internetu</w:t>
      </w:r>
      <w:proofErr w:type="spellEnd"/>
      <w:r w:rsidR="00B3320F" w:rsidRPr="001D3481">
        <w:rPr>
          <w:color w:val="auto"/>
        </w:rPr>
        <w:t xml:space="preserve">, z informacji i z danych w </w:t>
      </w:r>
      <w:proofErr w:type="spellStart"/>
      <w:r w:rsidR="00B3320F" w:rsidRPr="001D3481">
        <w:rPr>
          <w:color w:val="auto"/>
        </w:rPr>
        <w:t>internecie</w:t>
      </w:r>
      <w:proofErr w:type="spellEnd"/>
      <w:r w:rsidR="00B3320F" w:rsidRPr="001D3481">
        <w:rPr>
          <w:color w:val="auto"/>
        </w:rPr>
        <w:t>,  komunikacji z wykorzystaniem technologii cyfrowych, tworzenia treści cyfrowych, ochrony urządzeń, treści cyfrowych oraz danych osobowych, rozwiązywania problemów technicznych</w:t>
      </w:r>
      <w:r w:rsidR="00147BB8" w:rsidRPr="001D3481">
        <w:rPr>
          <w:color w:val="auto"/>
        </w:rPr>
        <w:t>).</w:t>
      </w:r>
    </w:p>
    <w:p w:rsidR="002246AD" w:rsidRPr="001D3481" w:rsidRDefault="000C0D22" w:rsidP="00922F4E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1D3481">
        <w:rPr>
          <w:color w:val="auto"/>
        </w:rPr>
        <w:t>Operator zobowiązuje się do przeprowadzenia działań</w:t>
      </w:r>
      <w:r w:rsidR="00A27611" w:rsidRPr="001D3481">
        <w:rPr>
          <w:color w:val="auto"/>
        </w:rPr>
        <w:t xml:space="preserve"> pod nazwą </w:t>
      </w:r>
      <w:r w:rsidR="00A27611" w:rsidRPr="001D3481">
        <w:rPr>
          <w:b/>
          <w:bCs/>
          <w:color w:val="auto"/>
          <w:szCs w:val="24"/>
        </w:rPr>
        <w:t>Kurs kompetencji edukacyjnych dla instruktorów</w:t>
      </w:r>
      <w:r w:rsidRPr="001D3481">
        <w:rPr>
          <w:color w:val="auto"/>
        </w:rPr>
        <w:t>, w ramach których instruktorzy zostaną przygotowani do świadczenia usług</w:t>
      </w:r>
      <w:r w:rsidR="004D1FA4" w:rsidRPr="001D3481">
        <w:rPr>
          <w:color w:val="auto"/>
        </w:rPr>
        <w:t xml:space="preserve"> szkoleniowych</w:t>
      </w:r>
      <w:r w:rsidRPr="001D3481">
        <w:rPr>
          <w:color w:val="auto"/>
        </w:rPr>
        <w:t xml:space="preserve"> w zakresie kompetencji cyfrowych </w:t>
      </w:r>
      <w:r w:rsidR="0010496D" w:rsidRPr="001D3481">
        <w:rPr>
          <w:color w:val="auto"/>
        </w:rPr>
        <w:t>z</w:t>
      </w:r>
      <w:r w:rsidRPr="001D3481">
        <w:rPr>
          <w:color w:val="auto"/>
        </w:rPr>
        <w:t xml:space="preserve"> uwzględnieniem metod szkolenia osób dorosłych oraz korzystania ze scenariuszy szkoleń</w:t>
      </w:r>
      <w:r w:rsidR="00A27611" w:rsidRPr="001D3481">
        <w:rPr>
          <w:color w:val="auto"/>
        </w:rPr>
        <w:t xml:space="preserve"> przygotowanych przez </w:t>
      </w:r>
      <w:r w:rsidR="00A040CC" w:rsidRPr="001D3481">
        <w:rPr>
          <w:color w:val="auto"/>
        </w:rPr>
        <w:t>operatora</w:t>
      </w:r>
      <w:r w:rsidRPr="001D3481">
        <w:rPr>
          <w:color w:val="auto"/>
        </w:rPr>
        <w:t>.</w:t>
      </w:r>
      <w:r w:rsidR="00A27611" w:rsidRPr="001D3481">
        <w:rPr>
          <w:color w:val="auto"/>
        </w:rPr>
        <w:t xml:space="preserve"> </w:t>
      </w:r>
      <w:r w:rsidR="00A27611" w:rsidRPr="001D3481">
        <w:rPr>
          <w:color w:val="auto"/>
          <w:szCs w:val="24"/>
        </w:rPr>
        <w:t>Kurs kompete</w:t>
      </w:r>
      <w:r w:rsidR="001D3481" w:rsidRPr="001D3481">
        <w:rPr>
          <w:color w:val="auto"/>
          <w:szCs w:val="24"/>
        </w:rPr>
        <w:t>ncji składa się z 10 spotkań on</w:t>
      </w:r>
      <w:r w:rsidR="00A27611" w:rsidRPr="001D3481">
        <w:rPr>
          <w:color w:val="auto"/>
          <w:szCs w:val="24"/>
        </w:rPr>
        <w:t xml:space="preserve">line, prowadzonych przez trenerów operatora, z wykorzystaniem cyfrowych narzędzi edukacyjnych zamieszczonych na przygotowanej przez </w:t>
      </w:r>
      <w:r w:rsidR="00A040CC" w:rsidRPr="001D3481">
        <w:rPr>
          <w:color w:val="auto"/>
          <w:szCs w:val="24"/>
        </w:rPr>
        <w:t xml:space="preserve">operatora </w:t>
      </w:r>
      <w:r w:rsidR="00A27611" w:rsidRPr="001D3481">
        <w:rPr>
          <w:color w:val="auto"/>
          <w:szCs w:val="24"/>
        </w:rPr>
        <w:t>platformie e-learningowej</w:t>
      </w:r>
      <w:r w:rsidR="00A27611" w:rsidRPr="001D3481">
        <w:rPr>
          <w:rStyle w:val="Odwoanieprzypisudolnego"/>
          <w:color w:val="auto"/>
          <w:szCs w:val="24"/>
        </w:rPr>
        <w:footnoteReference w:id="1"/>
      </w:r>
      <w:r w:rsidR="00A27611" w:rsidRPr="001D3481">
        <w:rPr>
          <w:color w:val="auto"/>
          <w:szCs w:val="24"/>
        </w:rPr>
        <w:t xml:space="preserve">. </w:t>
      </w:r>
    </w:p>
    <w:p w:rsidR="0089112E" w:rsidRPr="001D3481" w:rsidRDefault="00897290" w:rsidP="00922F4E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1D3481">
        <w:rPr>
          <w:color w:val="auto"/>
        </w:rPr>
        <w:t xml:space="preserve">Finansowanie działań, o których mowa w pkt. </w:t>
      </w:r>
      <w:r w:rsidR="00BF4468" w:rsidRPr="001D3481">
        <w:rPr>
          <w:color w:val="auto"/>
        </w:rPr>
        <w:t>1</w:t>
      </w:r>
      <w:r w:rsidR="003216A7" w:rsidRPr="001D3481">
        <w:rPr>
          <w:color w:val="auto"/>
        </w:rPr>
        <w:t>.</w:t>
      </w:r>
      <w:r w:rsidR="00147BB8" w:rsidRPr="001D3481">
        <w:rPr>
          <w:color w:val="auto"/>
        </w:rPr>
        <w:t>1</w:t>
      </w:r>
      <w:r w:rsidR="00D73898" w:rsidRPr="001D3481">
        <w:rPr>
          <w:color w:val="auto"/>
        </w:rPr>
        <w:t>2.</w:t>
      </w:r>
      <w:r w:rsidR="00A27611" w:rsidRPr="001D3481">
        <w:rPr>
          <w:color w:val="auto"/>
        </w:rPr>
        <w:t xml:space="preserve"> (</w:t>
      </w:r>
      <w:r w:rsidR="00A27611" w:rsidRPr="001D3481">
        <w:rPr>
          <w:bCs/>
          <w:color w:val="auto"/>
          <w:szCs w:val="24"/>
        </w:rPr>
        <w:t>Kurs kompetencji edukacyjnych dla instruktorów)</w:t>
      </w:r>
      <w:r w:rsidR="00D73898" w:rsidRPr="001D3481">
        <w:rPr>
          <w:color w:val="auto"/>
        </w:rPr>
        <w:t xml:space="preserve"> </w:t>
      </w:r>
      <w:r w:rsidRPr="001D3481">
        <w:rPr>
          <w:color w:val="auto"/>
        </w:rPr>
        <w:t xml:space="preserve">leży po stronie </w:t>
      </w:r>
      <w:r w:rsidR="00A040CC" w:rsidRPr="001D3481">
        <w:rPr>
          <w:color w:val="auto"/>
        </w:rPr>
        <w:t xml:space="preserve">operatora </w:t>
      </w:r>
      <w:r w:rsidR="00A27611" w:rsidRPr="001D3481">
        <w:rPr>
          <w:color w:val="auto"/>
        </w:rPr>
        <w:t>i obejmuje:</w:t>
      </w:r>
    </w:p>
    <w:p w:rsidR="00A27611" w:rsidRPr="001D3481" w:rsidRDefault="00A27611" w:rsidP="00A27611">
      <w:pPr>
        <w:pStyle w:val="Akapitzlist"/>
        <w:numPr>
          <w:ilvl w:val="1"/>
          <w:numId w:val="33"/>
        </w:numPr>
        <w:rPr>
          <w:color w:val="auto"/>
        </w:rPr>
      </w:pPr>
      <w:r w:rsidRPr="001D3481">
        <w:rPr>
          <w:color w:val="auto"/>
        </w:rPr>
        <w:t xml:space="preserve">Szkolenia z zakresu </w:t>
      </w:r>
      <w:r w:rsidRPr="001D3481">
        <w:rPr>
          <w:color w:val="auto"/>
          <w:szCs w:val="24"/>
        </w:rPr>
        <w:t>metodyki kształcenia osób dorosłych oraz podstaw andragogiki (2 spotkania)</w:t>
      </w:r>
    </w:p>
    <w:p w:rsidR="00A27611" w:rsidRPr="001D3481" w:rsidRDefault="00A27611" w:rsidP="00A27611">
      <w:pPr>
        <w:pStyle w:val="Akapitzlist"/>
        <w:numPr>
          <w:ilvl w:val="1"/>
          <w:numId w:val="33"/>
        </w:numPr>
        <w:rPr>
          <w:color w:val="auto"/>
        </w:rPr>
      </w:pPr>
      <w:r w:rsidRPr="001D3481">
        <w:rPr>
          <w:color w:val="auto"/>
          <w:szCs w:val="24"/>
        </w:rPr>
        <w:t>Sytuacje trudne i radzenie sobie z nimi (1 spotkanie)</w:t>
      </w:r>
    </w:p>
    <w:p w:rsidR="00A27611" w:rsidRPr="001D3481" w:rsidRDefault="00A27611" w:rsidP="00A27611">
      <w:pPr>
        <w:pStyle w:val="Akapitzlist"/>
        <w:numPr>
          <w:ilvl w:val="1"/>
          <w:numId w:val="33"/>
        </w:numPr>
        <w:rPr>
          <w:color w:val="auto"/>
        </w:rPr>
      </w:pPr>
      <w:r w:rsidRPr="001D3481">
        <w:rPr>
          <w:color w:val="auto"/>
          <w:szCs w:val="24"/>
        </w:rPr>
        <w:t xml:space="preserve">Train to </w:t>
      </w:r>
      <w:proofErr w:type="spellStart"/>
      <w:r w:rsidRPr="001D3481">
        <w:rPr>
          <w:color w:val="auto"/>
          <w:szCs w:val="24"/>
        </w:rPr>
        <w:t>trainers</w:t>
      </w:r>
      <w:proofErr w:type="spellEnd"/>
      <w:r w:rsidRPr="001D3481">
        <w:rPr>
          <w:color w:val="auto"/>
          <w:szCs w:val="24"/>
        </w:rPr>
        <w:t xml:space="preserve"> – prowadzenie szkolenia zgodnie ze scenariuszami (7 spotkań).</w:t>
      </w:r>
    </w:p>
    <w:p w:rsidR="001522DA" w:rsidRPr="001D3481" w:rsidRDefault="00363A1F" w:rsidP="00922F4E">
      <w:pPr>
        <w:pStyle w:val="Akapitzlist"/>
        <w:numPr>
          <w:ilvl w:val="0"/>
          <w:numId w:val="33"/>
        </w:numPr>
        <w:ind w:hanging="562"/>
        <w:rPr>
          <w:color w:val="auto"/>
        </w:rPr>
      </w:pPr>
      <w:r w:rsidRPr="001D3481">
        <w:rPr>
          <w:color w:val="auto"/>
        </w:rPr>
        <w:t xml:space="preserve">Otrzymanie grantu będzie uzależnione </w:t>
      </w:r>
      <w:r w:rsidR="001522DA" w:rsidRPr="001D3481">
        <w:rPr>
          <w:color w:val="auto"/>
        </w:rPr>
        <w:t xml:space="preserve">od otrzymania minimalnej liczby punktów wymaganych podczas oceny wniosków, na którą składać się będą m.in.: </w:t>
      </w:r>
    </w:p>
    <w:p w:rsidR="00A07FD3" w:rsidRPr="001D3481" w:rsidRDefault="00A07FD3" w:rsidP="00213001">
      <w:pPr>
        <w:pStyle w:val="Akapitzlist"/>
        <w:numPr>
          <w:ilvl w:val="0"/>
          <w:numId w:val="21"/>
        </w:numPr>
        <w:ind w:left="1843" w:hanging="425"/>
        <w:rPr>
          <w:color w:val="auto"/>
        </w:rPr>
      </w:pPr>
      <w:r w:rsidRPr="001D3481">
        <w:rPr>
          <w:color w:val="auto"/>
        </w:rPr>
        <w:t>Uzasadnienie wyboru obszaru realizacji projektu i doboru grupy docelowej</w:t>
      </w:r>
    </w:p>
    <w:p w:rsidR="00A07FD3" w:rsidRPr="001D3481" w:rsidRDefault="00A07FD3" w:rsidP="00213001">
      <w:pPr>
        <w:pStyle w:val="Akapitzlist"/>
        <w:numPr>
          <w:ilvl w:val="0"/>
          <w:numId w:val="21"/>
        </w:numPr>
        <w:ind w:left="1843" w:hanging="425"/>
        <w:rPr>
          <w:color w:val="auto"/>
        </w:rPr>
      </w:pPr>
      <w:r w:rsidRPr="001D3481">
        <w:rPr>
          <w:color w:val="auto"/>
        </w:rPr>
        <w:t xml:space="preserve">Uzasadnienie wyboru zaplanowanej tematyki szkoleń w kontekście wyboru obszaru wsparcia i grupy docelowej uczestników </w:t>
      </w:r>
    </w:p>
    <w:p w:rsidR="00A07FD3" w:rsidRPr="001D3481" w:rsidRDefault="00A07FD3" w:rsidP="00213001">
      <w:pPr>
        <w:pStyle w:val="Akapitzlist"/>
        <w:numPr>
          <w:ilvl w:val="0"/>
          <w:numId w:val="21"/>
        </w:numPr>
        <w:ind w:left="1843" w:hanging="425"/>
        <w:rPr>
          <w:color w:val="auto"/>
        </w:rPr>
      </w:pPr>
      <w:r w:rsidRPr="001D3481">
        <w:rPr>
          <w:color w:val="auto"/>
        </w:rPr>
        <w:t>Uzasadnienie dla partnerstwa w projekcie</w:t>
      </w:r>
      <w:r w:rsidR="009F12DB" w:rsidRPr="001D3481">
        <w:rPr>
          <w:color w:val="auto"/>
        </w:rPr>
        <w:t xml:space="preserve">. </w:t>
      </w:r>
      <w:r w:rsidR="009F12DB" w:rsidRPr="001D3481">
        <w:rPr>
          <w:color w:val="auto"/>
          <w:szCs w:val="24"/>
        </w:rPr>
        <w:t>W przypadku współpracy należy ściśle określić role i zadania dla każdego z partnerów</w:t>
      </w:r>
    </w:p>
    <w:p w:rsidR="00213001" w:rsidRPr="001D3481" w:rsidRDefault="00213001" w:rsidP="00213001">
      <w:pPr>
        <w:pStyle w:val="Akapitzlist"/>
        <w:numPr>
          <w:ilvl w:val="0"/>
          <w:numId w:val="21"/>
        </w:numPr>
        <w:ind w:left="1843" w:hanging="425"/>
        <w:rPr>
          <w:color w:val="auto"/>
        </w:rPr>
      </w:pPr>
      <w:r w:rsidRPr="001D3481">
        <w:rPr>
          <w:color w:val="auto"/>
        </w:rPr>
        <w:t>Dobór i opis odpowiednich działań promocyjnych pozwalający na uzyskanie deklarowanej liczby uczestników</w:t>
      </w:r>
    </w:p>
    <w:p w:rsidR="00213001" w:rsidRPr="001D3481" w:rsidRDefault="00213001" w:rsidP="00213001">
      <w:pPr>
        <w:pStyle w:val="Akapitzlist"/>
        <w:numPr>
          <w:ilvl w:val="0"/>
          <w:numId w:val="21"/>
        </w:numPr>
        <w:ind w:left="1843" w:hanging="425"/>
        <w:rPr>
          <w:color w:val="auto"/>
        </w:rPr>
      </w:pPr>
      <w:r w:rsidRPr="001D3481">
        <w:rPr>
          <w:color w:val="auto"/>
        </w:rPr>
        <w:t>Opis sposobu naboru uczestników szkoleń</w:t>
      </w:r>
    </w:p>
    <w:p w:rsidR="00213001" w:rsidRPr="001D3481" w:rsidRDefault="00213001" w:rsidP="00213001">
      <w:pPr>
        <w:pStyle w:val="Akapitzlist"/>
        <w:numPr>
          <w:ilvl w:val="0"/>
          <w:numId w:val="21"/>
        </w:numPr>
        <w:ind w:left="1843" w:hanging="425"/>
        <w:rPr>
          <w:color w:val="auto"/>
        </w:rPr>
      </w:pPr>
      <w:r w:rsidRPr="001D3481">
        <w:rPr>
          <w:color w:val="auto"/>
        </w:rPr>
        <w:t>Opis planowanych działań gwarantujący wysoką jakość szkoleń i realizację celów konkursu</w:t>
      </w:r>
    </w:p>
    <w:p w:rsidR="00213001" w:rsidRPr="001D3481" w:rsidRDefault="00213001" w:rsidP="00213001">
      <w:pPr>
        <w:pStyle w:val="Akapitzlist"/>
        <w:numPr>
          <w:ilvl w:val="0"/>
          <w:numId w:val="21"/>
        </w:numPr>
        <w:ind w:left="1843" w:hanging="425"/>
        <w:rPr>
          <w:color w:val="auto"/>
        </w:rPr>
      </w:pPr>
      <w:r w:rsidRPr="001D3481">
        <w:rPr>
          <w:color w:val="auto"/>
        </w:rPr>
        <w:t xml:space="preserve">Opis działań zapobiegawczych w przypadku braku zainteresowania udziałem w szkoleniach </w:t>
      </w:r>
    </w:p>
    <w:p w:rsidR="00213001" w:rsidRPr="001D3481" w:rsidRDefault="00213001" w:rsidP="00213001">
      <w:pPr>
        <w:pStyle w:val="Akapitzlist"/>
        <w:numPr>
          <w:ilvl w:val="0"/>
          <w:numId w:val="21"/>
        </w:numPr>
        <w:ind w:left="1843" w:hanging="425"/>
        <w:rPr>
          <w:color w:val="auto"/>
        </w:rPr>
      </w:pPr>
      <w:r w:rsidRPr="001D3481">
        <w:rPr>
          <w:color w:val="auto"/>
        </w:rPr>
        <w:t>Opis potencjału kadrowego wnioskodawcy (baza instruktorów)</w:t>
      </w:r>
    </w:p>
    <w:p w:rsidR="00213001" w:rsidRPr="001D3481" w:rsidRDefault="00213001" w:rsidP="00213001">
      <w:pPr>
        <w:pStyle w:val="Akapitzlist"/>
        <w:numPr>
          <w:ilvl w:val="0"/>
          <w:numId w:val="21"/>
        </w:numPr>
        <w:ind w:left="1843" w:hanging="425"/>
        <w:rPr>
          <w:color w:val="auto"/>
        </w:rPr>
      </w:pPr>
      <w:r w:rsidRPr="001D3481">
        <w:rPr>
          <w:color w:val="auto"/>
        </w:rPr>
        <w:t xml:space="preserve">Ocena planowanych do poniesienia wydatków w ramach mikroprojektu w zakresie ich kwalifikowalności, racjonalności i niezbędności (zgodnie z wymaganiami określonymi w pkt. </w:t>
      </w:r>
      <w:r w:rsidR="00BF4468" w:rsidRPr="001D3481">
        <w:rPr>
          <w:color w:val="auto"/>
        </w:rPr>
        <w:t>1</w:t>
      </w:r>
      <w:r w:rsidRPr="001D3481">
        <w:rPr>
          <w:color w:val="auto"/>
        </w:rPr>
        <w:t>.15.)</w:t>
      </w:r>
    </w:p>
    <w:p w:rsidR="00213001" w:rsidRPr="001D3481" w:rsidRDefault="00213001" w:rsidP="00922F4E">
      <w:pPr>
        <w:pStyle w:val="Akapitzlist"/>
        <w:numPr>
          <w:ilvl w:val="0"/>
          <w:numId w:val="33"/>
        </w:numPr>
        <w:ind w:left="851" w:hanging="425"/>
        <w:rPr>
          <w:color w:val="auto"/>
        </w:rPr>
      </w:pPr>
      <w:r w:rsidRPr="001D3481">
        <w:rPr>
          <w:color w:val="auto"/>
        </w:rPr>
        <w:t>Wnioskodawca będzie mógł uzyskać dofinasowanie jedynie na wydatki, które spełniać będą następujące kryteria:</w:t>
      </w:r>
    </w:p>
    <w:p w:rsidR="00391917" w:rsidRPr="001D3481" w:rsidRDefault="00E11B33" w:rsidP="00E11B33">
      <w:pPr>
        <w:pStyle w:val="Akapitzlist"/>
        <w:numPr>
          <w:ilvl w:val="0"/>
          <w:numId w:val="22"/>
        </w:numPr>
        <w:ind w:left="1843" w:hanging="425"/>
        <w:rPr>
          <w:color w:val="auto"/>
        </w:rPr>
      </w:pPr>
      <w:r w:rsidRPr="001D3481">
        <w:rPr>
          <w:color w:val="auto"/>
        </w:rPr>
        <w:t>Z</w:t>
      </w:r>
      <w:r w:rsidR="00391917" w:rsidRPr="001D3481">
        <w:rPr>
          <w:color w:val="auto"/>
        </w:rPr>
        <w:t>ostały poniesione w okresie kwalifikowalności projektu</w:t>
      </w:r>
      <w:r w:rsidRPr="001D3481">
        <w:rPr>
          <w:color w:val="auto"/>
        </w:rPr>
        <w:t>.</w:t>
      </w:r>
    </w:p>
    <w:p w:rsidR="00391917" w:rsidRPr="001D3481" w:rsidRDefault="00E11B33" w:rsidP="00E11B33">
      <w:pPr>
        <w:pStyle w:val="Akapitzlist"/>
        <w:numPr>
          <w:ilvl w:val="0"/>
          <w:numId w:val="22"/>
        </w:numPr>
        <w:ind w:left="1843" w:hanging="425"/>
        <w:rPr>
          <w:color w:val="auto"/>
        </w:rPr>
      </w:pPr>
      <w:r w:rsidRPr="001D3481">
        <w:rPr>
          <w:color w:val="auto"/>
        </w:rPr>
        <w:t>S</w:t>
      </w:r>
      <w:r w:rsidR="00391917" w:rsidRPr="001D3481">
        <w:rPr>
          <w:color w:val="auto"/>
        </w:rPr>
        <w:t>ą racjonalne i niezbędne do osiągnięcia celu zakładanego w realizowanym mikroprojekcie</w:t>
      </w:r>
      <w:r w:rsidR="0097447E" w:rsidRPr="001D3481">
        <w:rPr>
          <w:color w:val="auto"/>
        </w:rPr>
        <w:t>.</w:t>
      </w:r>
    </w:p>
    <w:p w:rsidR="00391917" w:rsidRPr="001D3481" w:rsidRDefault="0097447E" w:rsidP="00E11B33">
      <w:pPr>
        <w:pStyle w:val="Akapitzlist"/>
        <w:numPr>
          <w:ilvl w:val="0"/>
          <w:numId w:val="22"/>
        </w:numPr>
        <w:ind w:left="1843" w:hanging="425"/>
        <w:rPr>
          <w:color w:val="auto"/>
        </w:rPr>
      </w:pPr>
      <w:r w:rsidRPr="001D3481">
        <w:rPr>
          <w:color w:val="auto"/>
        </w:rPr>
        <w:t>D</w:t>
      </w:r>
      <w:r w:rsidR="00391917" w:rsidRPr="001D3481">
        <w:rPr>
          <w:color w:val="auto"/>
        </w:rPr>
        <w:t>otyczą realizowanych szkoleń</w:t>
      </w:r>
      <w:r w:rsidRPr="001D3481">
        <w:rPr>
          <w:color w:val="auto"/>
        </w:rPr>
        <w:t>.</w:t>
      </w:r>
    </w:p>
    <w:p w:rsidR="0097447E" w:rsidRPr="001D3481" w:rsidRDefault="0097447E" w:rsidP="0097447E">
      <w:pPr>
        <w:pStyle w:val="Akapitzlist"/>
        <w:numPr>
          <w:ilvl w:val="0"/>
          <w:numId w:val="22"/>
        </w:numPr>
        <w:ind w:left="1843" w:hanging="425"/>
        <w:rPr>
          <w:color w:val="auto"/>
        </w:rPr>
      </w:pPr>
      <w:r w:rsidRPr="001D3481">
        <w:rPr>
          <w:color w:val="auto"/>
        </w:rPr>
        <w:t>Z</w:t>
      </w:r>
      <w:r w:rsidR="00391917" w:rsidRPr="001D3481">
        <w:rPr>
          <w:color w:val="auto"/>
        </w:rPr>
        <w:t>osta</w:t>
      </w:r>
      <w:r w:rsidRPr="001D3481">
        <w:rPr>
          <w:color w:val="auto"/>
        </w:rPr>
        <w:t>ły</w:t>
      </w:r>
      <w:r w:rsidR="00391917" w:rsidRPr="001D3481">
        <w:rPr>
          <w:color w:val="auto"/>
        </w:rPr>
        <w:t xml:space="preserve"> dokonane w sposób oszczędny, tzn. niezawyżony w stosunku do średnich cen i stawek rynkowych i spełniający wymogi uzyskiwania najlepszych efektów z danych nakładów</w:t>
      </w:r>
      <w:r w:rsidRPr="001D3481">
        <w:rPr>
          <w:color w:val="auto"/>
        </w:rPr>
        <w:t>.</w:t>
      </w:r>
    </w:p>
    <w:p w:rsidR="00391917" w:rsidRPr="001D3481" w:rsidRDefault="0097447E" w:rsidP="0097447E">
      <w:pPr>
        <w:pStyle w:val="Akapitzlist"/>
        <w:numPr>
          <w:ilvl w:val="0"/>
          <w:numId w:val="22"/>
        </w:numPr>
        <w:ind w:left="1843" w:hanging="425"/>
        <w:rPr>
          <w:color w:val="auto"/>
        </w:rPr>
      </w:pPr>
      <w:r w:rsidRPr="001D3481">
        <w:rPr>
          <w:color w:val="auto"/>
        </w:rPr>
        <w:t>Są</w:t>
      </w:r>
      <w:r w:rsidR="00391917" w:rsidRPr="001D3481">
        <w:rPr>
          <w:color w:val="auto"/>
        </w:rPr>
        <w:t xml:space="preserve"> zgodne z przepisami prawa powszechnie obowiązującego, w tym zarówno krajowego, jak i unijnego oraz zgodne z katalogiem wydatków kwalifikowanych, o którym mowa w pkt. </w:t>
      </w:r>
      <w:r w:rsidR="00BF4468" w:rsidRPr="001D3481">
        <w:rPr>
          <w:color w:val="auto"/>
        </w:rPr>
        <w:t>4</w:t>
      </w:r>
      <w:r w:rsidR="00391917" w:rsidRPr="001D3481">
        <w:rPr>
          <w:color w:val="auto"/>
        </w:rPr>
        <w:t xml:space="preserve"> jak również z Wytycznymi w zakresie kwalifikowalności wydatków w ramach Europejskiego Funduszu Rozwoju Regionalnego, Europejskiego Funduszu Społecznego oraz Funduszu Spójności na lata 2014-2020</w:t>
      </w:r>
      <w:r w:rsidRPr="001D3481">
        <w:rPr>
          <w:color w:val="auto"/>
        </w:rPr>
        <w:t>.</w:t>
      </w:r>
    </w:p>
    <w:p w:rsidR="00B90F30" w:rsidRPr="001D3481" w:rsidRDefault="00B90F30" w:rsidP="00B90F30">
      <w:pPr>
        <w:pStyle w:val="Akapitzlist"/>
        <w:ind w:left="993" w:firstLine="0"/>
        <w:rPr>
          <w:color w:val="auto"/>
        </w:rPr>
      </w:pPr>
      <w:r w:rsidRPr="001D3481">
        <w:rPr>
          <w:color w:val="auto"/>
        </w:rPr>
        <w:t>Na Wnioskodawcy spoczywa obowiązek uzasadnienia spełnienia powyższych warunków.</w:t>
      </w:r>
    </w:p>
    <w:p w:rsidR="005F11F5" w:rsidRPr="001D3481" w:rsidRDefault="005F11F5" w:rsidP="005F11F5">
      <w:pPr>
        <w:ind w:hanging="25"/>
        <w:rPr>
          <w:color w:val="auto"/>
        </w:rPr>
      </w:pPr>
    </w:p>
    <w:p w:rsidR="000067CE" w:rsidRPr="00C53BA5" w:rsidRDefault="00B15854" w:rsidP="00BF4468">
      <w:pPr>
        <w:pStyle w:val="Nagwek2"/>
        <w:numPr>
          <w:ilvl w:val="0"/>
          <w:numId w:val="30"/>
        </w:numPr>
        <w:ind w:hanging="628"/>
        <w:rPr>
          <w:b/>
          <w:color w:val="auto"/>
        </w:rPr>
      </w:pPr>
      <w:bookmarkStart w:id="6" w:name="_Toc494625520"/>
      <w:bookmarkStart w:id="7" w:name="_Toc8863"/>
      <w:r w:rsidRPr="001D3481">
        <w:rPr>
          <w:b/>
          <w:color w:val="auto"/>
          <w:highlight w:val="lightGray"/>
        </w:rPr>
        <w:t xml:space="preserve">Sposób wyboru </w:t>
      </w:r>
      <w:proofErr w:type="spellStart"/>
      <w:r w:rsidRPr="001D3481">
        <w:rPr>
          <w:b/>
          <w:color w:val="auto"/>
          <w:highlight w:val="lightGray"/>
        </w:rPr>
        <w:t>grantobiorców</w:t>
      </w:r>
      <w:proofErr w:type="spellEnd"/>
      <w:r w:rsidRPr="001D3481">
        <w:rPr>
          <w:b/>
          <w:color w:val="auto"/>
          <w:highlight w:val="lightGray"/>
        </w:rPr>
        <w:t xml:space="preserve"> w otwartym naborze, z zachowaniem zasady bezstronności i przejrzystości.</w:t>
      </w:r>
      <w:bookmarkEnd w:id="6"/>
      <w:r w:rsidRPr="001D3481">
        <w:rPr>
          <w:b/>
          <w:color w:val="auto"/>
          <w:highlight w:val="lightGray"/>
        </w:rPr>
        <w:t xml:space="preserve"> </w:t>
      </w:r>
      <w:bookmarkEnd w:id="7"/>
      <w:r w:rsidR="0010496D" w:rsidRPr="001D3481">
        <w:rPr>
          <w:b/>
          <w:color w:val="auto"/>
          <w:highlight w:val="lightGray"/>
        </w:rPr>
        <w:br/>
      </w:r>
    </w:p>
    <w:p w:rsidR="00180743" w:rsidRPr="00C53BA5" w:rsidRDefault="00180743" w:rsidP="00922F4E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C53BA5">
        <w:rPr>
          <w:color w:val="auto"/>
        </w:rPr>
        <w:t xml:space="preserve">Nabór wniosków o przyznanie grantów </w:t>
      </w:r>
      <w:r w:rsidR="00573D1F" w:rsidRPr="00C53BA5">
        <w:rPr>
          <w:color w:val="auto"/>
        </w:rPr>
        <w:t xml:space="preserve">na realizację mikroprojektów </w:t>
      </w:r>
      <w:r w:rsidRPr="00C53BA5">
        <w:rPr>
          <w:color w:val="auto"/>
        </w:rPr>
        <w:t>prowadzony będzie w formie konkurs</w:t>
      </w:r>
      <w:r w:rsidR="00CE68FB" w:rsidRPr="00C53BA5">
        <w:rPr>
          <w:color w:val="auto"/>
        </w:rPr>
        <w:t>owej</w:t>
      </w:r>
      <w:r w:rsidRPr="00C53BA5">
        <w:rPr>
          <w:color w:val="auto"/>
        </w:rPr>
        <w:t xml:space="preserve"> w trybie naboru </w:t>
      </w:r>
      <w:r w:rsidR="00CE68FB" w:rsidRPr="00C53BA5">
        <w:rPr>
          <w:color w:val="auto"/>
        </w:rPr>
        <w:t>ogł</w:t>
      </w:r>
      <w:r w:rsidR="00573D1F" w:rsidRPr="00C53BA5">
        <w:rPr>
          <w:color w:val="auto"/>
        </w:rPr>
        <w:t>a</w:t>
      </w:r>
      <w:r w:rsidR="00CE68FB" w:rsidRPr="00C53BA5">
        <w:rPr>
          <w:color w:val="auto"/>
        </w:rPr>
        <w:t>sz</w:t>
      </w:r>
      <w:r w:rsidR="00573D1F" w:rsidRPr="00C53BA5">
        <w:rPr>
          <w:color w:val="auto"/>
        </w:rPr>
        <w:t>a</w:t>
      </w:r>
      <w:r w:rsidR="00CE68FB" w:rsidRPr="00C53BA5">
        <w:rPr>
          <w:color w:val="auto"/>
        </w:rPr>
        <w:t>nego osobno dla każdego województwa.</w:t>
      </w:r>
    </w:p>
    <w:p w:rsidR="00CE68FB" w:rsidRPr="00C53BA5" w:rsidRDefault="00CE68FB" w:rsidP="00922F4E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C53BA5">
        <w:rPr>
          <w:color w:val="auto"/>
        </w:rPr>
        <w:t>Przeprowadzone zostaną trzy rundy konkursowe</w:t>
      </w:r>
      <w:r w:rsidR="00C006CE" w:rsidRPr="00C53BA5">
        <w:rPr>
          <w:color w:val="auto"/>
        </w:rPr>
        <w:t xml:space="preserve"> dla każdego z województw</w:t>
      </w:r>
      <w:r w:rsidRPr="00C53BA5">
        <w:rPr>
          <w:color w:val="auto"/>
        </w:rPr>
        <w:t>. Planowane ogłoszenie naboru</w:t>
      </w:r>
      <w:r w:rsidR="00B409BD" w:rsidRPr="00C53BA5">
        <w:rPr>
          <w:color w:val="auto"/>
        </w:rPr>
        <w:t xml:space="preserve"> wniosków</w:t>
      </w:r>
      <w:r w:rsidRPr="00C53BA5">
        <w:rPr>
          <w:color w:val="auto"/>
        </w:rPr>
        <w:t xml:space="preserve"> nastąpi w czerwcu 2018 r.</w:t>
      </w:r>
      <w:r w:rsidR="00B409BD" w:rsidRPr="00C53BA5">
        <w:rPr>
          <w:color w:val="auto"/>
        </w:rPr>
        <w:t xml:space="preserve"> </w:t>
      </w:r>
      <w:r w:rsidRPr="00C53BA5">
        <w:rPr>
          <w:color w:val="auto"/>
        </w:rPr>
        <w:t xml:space="preserve">(I runda), wrześniu 2018 r. (II runda), </w:t>
      </w:r>
      <w:r w:rsidR="00ED619F" w:rsidRPr="00C53BA5">
        <w:rPr>
          <w:color w:val="auto"/>
        </w:rPr>
        <w:t>kwiecień 2019</w:t>
      </w:r>
      <w:r w:rsidRPr="00C53BA5">
        <w:rPr>
          <w:color w:val="auto"/>
        </w:rPr>
        <w:t xml:space="preserve"> r. (III runda).</w:t>
      </w:r>
    </w:p>
    <w:p w:rsidR="00CE68FB" w:rsidRPr="001D3481" w:rsidRDefault="00CE68FB" w:rsidP="00922F4E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Ogłoszenie o naborze zamieszczone zostanie na stronie internetowej </w:t>
      </w:r>
      <w:r w:rsidR="00573D1F" w:rsidRPr="001D3481">
        <w:rPr>
          <w:color w:val="auto"/>
        </w:rPr>
        <w:t xml:space="preserve">właściwego </w:t>
      </w:r>
      <w:r w:rsidRPr="001D3481">
        <w:rPr>
          <w:color w:val="auto"/>
        </w:rPr>
        <w:t>operatora oraz na stronie projektu.</w:t>
      </w:r>
      <w:r w:rsidR="00C006CE" w:rsidRPr="001D3481">
        <w:rPr>
          <w:color w:val="auto"/>
        </w:rPr>
        <w:t xml:space="preserve"> Dodatkowo na adres każdej z jednostek samorządu terytorialnego </w:t>
      </w:r>
      <w:r w:rsidR="00AC53D9" w:rsidRPr="001D3481">
        <w:rPr>
          <w:color w:val="auto"/>
        </w:rPr>
        <w:t xml:space="preserve">z obszaru konkursowego </w:t>
      </w:r>
      <w:r w:rsidR="00C006CE" w:rsidRPr="001D3481">
        <w:rPr>
          <w:color w:val="auto"/>
        </w:rPr>
        <w:t>wysłan</w:t>
      </w:r>
      <w:r w:rsidR="00AC53D9" w:rsidRPr="001D3481">
        <w:rPr>
          <w:color w:val="auto"/>
        </w:rPr>
        <w:t>a</w:t>
      </w:r>
      <w:r w:rsidR="00C006CE" w:rsidRPr="001D3481">
        <w:rPr>
          <w:color w:val="auto"/>
        </w:rPr>
        <w:t xml:space="preserve"> zostanie </w:t>
      </w:r>
      <w:r w:rsidR="00AC53D9" w:rsidRPr="001D3481">
        <w:rPr>
          <w:color w:val="auto"/>
        </w:rPr>
        <w:t xml:space="preserve">informacja pocztą tradycyjną o prowadzonym konkursie. </w:t>
      </w:r>
    </w:p>
    <w:p w:rsidR="00D31DA4" w:rsidRPr="001D3481" w:rsidRDefault="00D31DA4" w:rsidP="00922F4E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>Operator ogłosi nabór wniosków na co najmniej 21 dni przed upływem terminu składania wniosków.</w:t>
      </w:r>
    </w:p>
    <w:p w:rsidR="001D77D1" w:rsidRPr="001D3481" w:rsidRDefault="001D77D1" w:rsidP="00922F4E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Wnioski o grant będzie można składać </w:t>
      </w:r>
      <w:r w:rsidR="00636180" w:rsidRPr="001D3481">
        <w:rPr>
          <w:color w:val="auto"/>
        </w:rPr>
        <w:t>przez min</w:t>
      </w:r>
      <w:r w:rsidR="0040617D">
        <w:rPr>
          <w:color w:val="auto"/>
        </w:rPr>
        <w:t>imum</w:t>
      </w:r>
      <w:r w:rsidR="00636180" w:rsidRPr="001D3481">
        <w:rPr>
          <w:color w:val="auto"/>
        </w:rPr>
        <w:t xml:space="preserve"> 14 dni </w:t>
      </w:r>
      <w:r w:rsidRPr="001D3481">
        <w:rPr>
          <w:color w:val="auto"/>
        </w:rPr>
        <w:t xml:space="preserve">na udostępnionym przez </w:t>
      </w:r>
      <w:r w:rsidR="00A040CC" w:rsidRPr="001D3481">
        <w:rPr>
          <w:color w:val="auto"/>
        </w:rPr>
        <w:t xml:space="preserve">operatora </w:t>
      </w:r>
      <w:r w:rsidRPr="001D3481">
        <w:rPr>
          <w:color w:val="auto"/>
        </w:rPr>
        <w:t>formularzu aplikacyjnym w wersji papierowe</w:t>
      </w:r>
      <w:r w:rsidR="00ED037E" w:rsidRPr="001D3481">
        <w:rPr>
          <w:color w:val="auto"/>
        </w:rPr>
        <w:t>j</w:t>
      </w:r>
      <w:r w:rsidRPr="001D3481">
        <w:rPr>
          <w:color w:val="auto"/>
        </w:rPr>
        <w:t xml:space="preserve"> w dwóch egzemplarzach</w:t>
      </w:r>
      <w:r w:rsidR="00470373" w:rsidRPr="001D3481">
        <w:rPr>
          <w:color w:val="auto"/>
        </w:rPr>
        <w:t xml:space="preserve"> -</w:t>
      </w:r>
      <w:r w:rsidRPr="001D3481">
        <w:rPr>
          <w:color w:val="auto"/>
        </w:rPr>
        <w:t xml:space="preserve"> oryginał i kopia potwierdzona za zgodność lub 2 oryginały. </w:t>
      </w:r>
    </w:p>
    <w:p w:rsidR="00D31DA4" w:rsidRPr="00C53BA5" w:rsidRDefault="00D31DA4" w:rsidP="00922F4E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C53BA5">
        <w:rPr>
          <w:color w:val="auto"/>
        </w:rPr>
        <w:t xml:space="preserve">Wnioski będzie można składać osobiście w siedzibie operatora: </w:t>
      </w:r>
    </w:p>
    <w:p w:rsidR="00D31DA4" w:rsidRPr="00C53BA5" w:rsidRDefault="00D31DA4" w:rsidP="001A1251">
      <w:pPr>
        <w:pStyle w:val="Akapitzlist"/>
        <w:numPr>
          <w:ilvl w:val="0"/>
          <w:numId w:val="24"/>
        </w:numPr>
        <w:ind w:left="1276" w:right="42" w:hanging="425"/>
        <w:rPr>
          <w:color w:val="auto"/>
        </w:rPr>
      </w:pPr>
      <w:r w:rsidRPr="00C53BA5">
        <w:rPr>
          <w:color w:val="auto"/>
        </w:rPr>
        <w:t xml:space="preserve">Konkurs dla województwa </w:t>
      </w:r>
      <w:r w:rsidR="001A1251" w:rsidRPr="00C53BA5">
        <w:rPr>
          <w:color w:val="auto"/>
        </w:rPr>
        <w:t xml:space="preserve">lubelskiego oraz dla województwa </w:t>
      </w:r>
      <w:r w:rsidRPr="00C53BA5">
        <w:rPr>
          <w:color w:val="auto"/>
        </w:rPr>
        <w:t xml:space="preserve">podkarpackiego: </w:t>
      </w:r>
    </w:p>
    <w:p w:rsidR="00D31DA4" w:rsidRPr="00C53BA5" w:rsidRDefault="001A1251" w:rsidP="001A1251">
      <w:pPr>
        <w:pStyle w:val="Akapitzlist"/>
        <w:ind w:left="1276" w:right="42" w:firstLine="0"/>
        <w:rPr>
          <w:b/>
          <w:color w:val="auto"/>
        </w:rPr>
      </w:pPr>
      <w:r w:rsidRPr="00C53BA5">
        <w:rPr>
          <w:b/>
          <w:color w:val="auto"/>
        </w:rPr>
        <w:t xml:space="preserve">- </w:t>
      </w:r>
      <w:r w:rsidR="00D31DA4" w:rsidRPr="00C53BA5">
        <w:rPr>
          <w:b/>
          <w:color w:val="auto"/>
        </w:rPr>
        <w:t>Fundacja e-Prosperity</w:t>
      </w:r>
      <w:r w:rsidR="00C43BBC" w:rsidRPr="00C53BA5">
        <w:rPr>
          <w:b/>
          <w:color w:val="auto"/>
        </w:rPr>
        <w:t xml:space="preserve">, Aleje Racławickie 33/26a, </w:t>
      </w:r>
      <w:r w:rsidR="00CB4E90" w:rsidRPr="00C53BA5">
        <w:rPr>
          <w:b/>
          <w:color w:val="auto"/>
        </w:rPr>
        <w:t xml:space="preserve">20-049 </w:t>
      </w:r>
      <w:r w:rsidR="00C43BBC" w:rsidRPr="00C53BA5">
        <w:rPr>
          <w:b/>
          <w:color w:val="auto"/>
        </w:rPr>
        <w:t>Lublin</w:t>
      </w:r>
      <w:r w:rsidRPr="00C53BA5">
        <w:rPr>
          <w:b/>
          <w:color w:val="auto"/>
        </w:rPr>
        <w:t xml:space="preserve"> </w:t>
      </w:r>
    </w:p>
    <w:p w:rsidR="001A1251" w:rsidRPr="00C53BA5" w:rsidRDefault="001A1251" w:rsidP="001A1251">
      <w:pPr>
        <w:pStyle w:val="Akapitzlist"/>
        <w:ind w:left="1276" w:right="42" w:firstLine="0"/>
        <w:rPr>
          <w:color w:val="auto"/>
        </w:rPr>
      </w:pPr>
      <w:r w:rsidRPr="00C53BA5">
        <w:rPr>
          <w:b/>
          <w:color w:val="auto"/>
        </w:rPr>
        <w:t>- Fundacja Nowy Staw, ul.</w:t>
      </w:r>
      <w:r w:rsidRPr="00C53BA5">
        <w:rPr>
          <w:sz w:val="16"/>
          <w:szCs w:val="16"/>
        </w:rPr>
        <w:t xml:space="preserve"> </w:t>
      </w:r>
      <w:r w:rsidRPr="00C53BA5">
        <w:rPr>
          <w:b/>
          <w:szCs w:val="24"/>
        </w:rPr>
        <w:t>T. Zana 38, 20-601 LUBLIN, Piętro X, pokój 1001</w:t>
      </w:r>
    </w:p>
    <w:p w:rsidR="00C006CE" w:rsidRPr="00C53BA5" w:rsidRDefault="00D31DA4" w:rsidP="00C44827">
      <w:pPr>
        <w:pStyle w:val="Akapitzlist"/>
        <w:ind w:left="851" w:right="42" w:firstLine="0"/>
        <w:rPr>
          <w:color w:val="auto"/>
        </w:rPr>
      </w:pPr>
      <w:r w:rsidRPr="00C53BA5">
        <w:rPr>
          <w:color w:val="auto"/>
        </w:rPr>
        <w:t xml:space="preserve">lub za pośrednictwem </w:t>
      </w:r>
      <w:r w:rsidR="00C43BBC" w:rsidRPr="00C53BA5">
        <w:rPr>
          <w:color w:val="auto"/>
        </w:rPr>
        <w:t xml:space="preserve">poczty tradycyjnej/kuriera. Jako termin złożenia wniosku traktowany będzie termin dostarczenia go do siedziby </w:t>
      </w:r>
      <w:r w:rsidR="00A040CC" w:rsidRPr="00C53BA5">
        <w:rPr>
          <w:color w:val="auto"/>
        </w:rPr>
        <w:t>operatora</w:t>
      </w:r>
      <w:r w:rsidR="00C43BBC" w:rsidRPr="00C53BA5">
        <w:rPr>
          <w:color w:val="auto"/>
        </w:rPr>
        <w:t>.</w:t>
      </w:r>
    </w:p>
    <w:p w:rsidR="00CE68FB" w:rsidRPr="00C53BA5" w:rsidRDefault="00CE68FB" w:rsidP="008E19E6">
      <w:pPr>
        <w:pStyle w:val="Akapitzlist"/>
        <w:numPr>
          <w:ilvl w:val="0"/>
          <w:numId w:val="12"/>
        </w:numPr>
        <w:ind w:right="42"/>
        <w:rPr>
          <w:color w:val="auto"/>
        </w:rPr>
      </w:pPr>
      <w:r w:rsidRPr="00C53BA5">
        <w:rPr>
          <w:color w:val="auto"/>
        </w:rPr>
        <w:t xml:space="preserve">Planowana alokacja środków </w:t>
      </w:r>
      <w:r w:rsidR="001A1251" w:rsidRPr="00C53BA5">
        <w:rPr>
          <w:color w:val="auto"/>
        </w:rPr>
        <w:t xml:space="preserve">dla obu województw łącznie </w:t>
      </w:r>
      <w:r w:rsidR="0065570C" w:rsidRPr="00C53BA5">
        <w:rPr>
          <w:color w:val="auto"/>
        </w:rPr>
        <w:t>wyniesie</w:t>
      </w:r>
      <w:r w:rsidR="00520FA4" w:rsidRPr="00C53BA5">
        <w:rPr>
          <w:color w:val="auto"/>
        </w:rPr>
        <w:t xml:space="preserve"> </w:t>
      </w:r>
      <w:r w:rsidR="001A1251" w:rsidRPr="00C53BA5">
        <w:rPr>
          <w:color w:val="auto"/>
        </w:rPr>
        <w:br/>
      </w:r>
      <w:r w:rsidR="00520FA4" w:rsidRPr="00C53BA5">
        <w:rPr>
          <w:color w:val="auto"/>
        </w:rPr>
        <w:t>7</w:t>
      </w:r>
      <w:r w:rsidR="005E2602" w:rsidRPr="00C53BA5">
        <w:rPr>
          <w:color w:val="auto"/>
        </w:rPr>
        <w:t> 881 673,95</w:t>
      </w:r>
      <w:r w:rsidR="008E19E6" w:rsidRPr="00C53BA5">
        <w:rPr>
          <w:color w:val="auto"/>
        </w:rPr>
        <w:t xml:space="preserve"> </w:t>
      </w:r>
      <w:r w:rsidR="00925E2B" w:rsidRPr="00C53BA5">
        <w:rPr>
          <w:color w:val="auto"/>
        </w:rPr>
        <w:t>PLN:</w:t>
      </w:r>
    </w:p>
    <w:p w:rsidR="00925E2B" w:rsidRPr="00C53BA5" w:rsidRDefault="00925E2B" w:rsidP="00925E2B">
      <w:pPr>
        <w:pStyle w:val="ox-3c84ca6101-msonormal"/>
        <w:numPr>
          <w:ilvl w:val="1"/>
          <w:numId w:val="33"/>
        </w:num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53BA5">
        <w:rPr>
          <w:rFonts w:asciiTheme="minorHAnsi" w:hAnsiTheme="minorHAnsi"/>
          <w:b/>
          <w:bCs/>
          <w:color w:val="000000"/>
          <w:sz w:val="22"/>
          <w:szCs w:val="22"/>
        </w:rPr>
        <w:t xml:space="preserve">Fundacja E-prosperity </w:t>
      </w:r>
    </w:p>
    <w:p w:rsidR="00925E2B" w:rsidRPr="00BF0EEC" w:rsidRDefault="00925E2B" w:rsidP="00925E2B">
      <w:pPr>
        <w:pStyle w:val="ox-3c84ca6101-msonormal"/>
        <w:ind w:left="628"/>
        <w:rPr>
          <w:rFonts w:asciiTheme="minorHAnsi" w:hAnsiTheme="minorHAnsi"/>
          <w:color w:val="000000"/>
          <w:sz w:val="22"/>
          <w:szCs w:val="22"/>
        </w:rPr>
      </w:pPr>
      <w:r w:rsidRPr="00BF0EEC">
        <w:rPr>
          <w:rFonts w:asciiTheme="minorHAnsi" w:hAnsiTheme="minorHAnsi"/>
          <w:color w:val="000000"/>
          <w:sz w:val="22"/>
          <w:szCs w:val="22"/>
        </w:rPr>
        <w:t>I runda konkursowa -1 349 300,88 zł</w:t>
      </w:r>
    </w:p>
    <w:p w:rsidR="00925E2B" w:rsidRPr="00BF0EEC" w:rsidRDefault="00925E2B" w:rsidP="00925E2B">
      <w:pPr>
        <w:pStyle w:val="ox-3c84ca6101-msonormal"/>
        <w:ind w:left="628"/>
        <w:rPr>
          <w:rFonts w:asciiTheme="minorHAnsi" w:hAnsiTheme="minorHAnsi"/>
          <w:color w:val="000000"/>
          <w:sz w:val="22"/>
          <w:szCs w:val="22"/>
        </w:rPr>
      </w:pPr>
      <w:r w:rsidRPr="00BF0EEC">
        <w:rPr>
          <w:rFonts w:asciiTheme="minorHAnsi" w:hAnsiTheme="minorHAnsi"/>
          <w:color w:val="000000"/>
          <w:sz w:val="22"/>
          <w:szCs w:val="22"/>
        </w:rPr>
        <w:t>II runda konkursowa - 1 296 506,40 zł</w:t>
      </w:r>
    </w:p>
    <w:p w:rsidR="00925E2B" w:rsidRPr="00BF0EEC" w:rsidRDefault="00925E2B" w:rsidP="00925E2B">
      <w:pPr>
        <w:pStyle w:val="ox-3c84ca6101-msonormal"/>
        <w:ind w:left="628"/>
        <w:rPr>
          <w:rFonts w:asciiTheme="minorHAnsi" w:hAnsiTheme="minorHAnsi"/>
          <w:color w:val="000000"/>
          <w:sz w:val="22"/>
          <w:szCs w:val="22"/>
        </w:rPr>
      </w:pPr>
      <w:r w:rsidRPr="00BF0EEC">
        <w:rPr>
          <w:rFonts w:asciiTheme="minorHAnsi" w:hAnsiTheme="minorHAnsi"/>
          <w:color w:val="000000"/>
          <w:sz w:val="22"/>
          <w:szCs w:val="22"/>
        </w:rPr>
        <w:t>III runda konkursowa- 1 300 546,87 zł</w:t>
      </w:r>
    </w:p>
    <w:p w:rsidR="00925E2B" w:rsidRPr="00BF0EEC" w:rsidRDefault="00925E2B" w:rsidP="00925E2B">
      <w:pPr>
        <w:pStyle w:val="ox-3c84ca6101-msonormal"/>
        <w:numPr>
          <w:ilvl w:val="1"/>
          <w:numId w:val="33"/>
        </w:num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F0EEC">
        <w:rPr>
          <w:rFonts w:asciiTheme="minorHAnsi" w:hAnsiTheme="minorHAnsi"/>
          <w:b/>
          <w:bCs/>
          <w:color w:val="000000"/>
          <w:sz w:val="22"/>
          <w:szCs w:val="22"/>
        </w:rPr>
        <w:t>Europejski Dom Spotkań- Fundacja Nowy Staw:</w:t>
      </w:r>
    </w:p>
    <w:p w:rsidR="00925E2B" w:rsidRPr="00BF0EEC" w:rsidRDefault="00925E2B" w:rsidP="00925E2B">
      <w:pPr>
        <w:pStyle w:val="ox-3c84ca6101-msonormal"/>
        <w:ind w:left="628"/>
        <w:rPr>
          <w:rFonts w:asciiTheme="minorHAnsi" w:hAnsiTheme="minorHAnsi"/>
          <w:sz w:val="22"/>
          <w:szCs w:val="22"/>
        </w:rPr>
      </w:pPr>
      <w:r w:rsidRPr="00BF0EEC">
        <w:rPr>
          <w:rFonts w:asciiTheme="minorHAnsi" w:hAnsiTheme="minorHAnsi"/>
          <w:sz w:val="22"/>
          <w:szCs w:val="22"/>
        </w:rPr>
        <w:t>I runda konkursowa - 961 396, 80 zł</w:t>
      </w:r>
    </w:p>
    <w:p w:rsidR="00925E2B" w:rsidRPr="00BF0EEC" w:rsidRDefault="00925E2B" w:rsidP="00925E2B">
      <w:pPr>
        <w:pStyle w:val="ox-3c84ca6101-msonormal"/>
        <w:ind w:left="628" w:right="720"/>
        <w:rPr>
          <w:rFonts w:asciiTheme="minorHAnsi" w:hAnsiTheme="minorHAnsi"/>
          <w:color w:val="000000"/>
          <w:sz w:val="22"/>
          <w:szCs w:val="22"/>
        </w:rPr>
      </w:pPr>
      <w:r w:rsidRPr="00BF0EEC">
        <w:rPr>
          <w:rFonts w:asciiTheme="minorHAnsi" w:hAnsiTheme="minorHAnsi"/>
          <w:sz w:val="22"/>
          <w:szCs w:val="22"/>
        </w:rPr>
        <w:t xml:space="preserve">II runda konkursowa - 591 890, 00 zł </w:t>
      </w:r>
      <w:r w:rsidRPr="00BF0EEC">
        <w:rPr>
          <w:rFonts w:asciiTheme="minorHAnsi" w:hAnsiTheme="minorHAnsi"/>
          <w:color w:val="000000"/>
          <w:sz w:val="22"/>
          <w:szCs w:val="22"/>
        </w:rPr>
        <w:t> </w:t>
      </w:r>
    </w:p>
    <w:p w:rsidR="00925E2B" w:rsidRPr="00BF0EEC" w:rsidRDefault="00925E2B" w:rsidP="00925E2B">
      <w:pPr>
        <w:pStyle w:val="ox-3c84ca6101-msonormal"/>
        <w:ind w:left="628"/>
        <w:rPr>
          <w:rFonts w:asciiTheme="minorHAnsi" w:hAnsiTheme="minorHAnsi"/>
          <w:color w:val="000000"/>
          <w:sz w:val="22"/>
          <w:szCs w:val="22"/>
        </w:rPr>
      </w:pPr>
      <w:r w:rsidRPr="00BF0EEC">
        <w:rPr>
          <w:rFonts w:asciiTheme="minorHAnsi" w:hAnsiTheme="minorHAnsi"/>
          <w:color w:val="000000"/>
          <w:sz w:val="22"/>
          <w:szCs w:val="22"/>
        </w:rPr>
        <w:t>III runda konkursowa- 2 382 033,00 zł</w:t>
      </w:r>
    </w:p>
    <w:p w:rsidR="00925E2B" w:rsidRPr="00BF0EEC" w:rsidRDefault="00925E2B" w:rsidP="00925E2B">
      <w:pPr>
        <w:pStyle w:val="ox-3c84ca6101-msonormal"/>
        <w:numPr>
          <w:ilvl w:val="1"/>
          <w:numId w:val="33"/>
        </w:num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F0EEC">
        <w:rPr>
          <w:rFonts w:asciiTheme="minorHAnsi" w:hAnsiTheme="minorHAnsi"/>
          <w:b/>
          <w:bCs/>
          <w:color w:val="000000"/>
          <w:sz w:val="22"/>
          <w:szCs w:val="22"/>
        </w:rPr>
        <w:t>RAZEM:</w:t>
      </w:r>
    </w:p>
    <w:p w:rsidR="00925E2B" w:rsidRPr="00BF0EEC" w:rsidRDefault="00925E2B" w:rsidP="00925E2B">
      <w:pPr>
        <w:pStyle w:val="ox-3c84ca6101-msonormal"/>
        <w:ind w:left="628"/>
        <w:rPr>
          <w:rFonts w:asciiTheme="minorHAnsi" w:hAnsiTheme="minorHAnsi"/>
          <w:color w:val="000000"/>
          <w:sz w:val="22"/>
          <w:szCs w:val="22"/>
        </w:rPr>
      </w:pPr>
      <w:r w:rsidRPr="00BF0EEC">
        <w:rPr>
          <w:rFonts w:asciiTheme="minorHAnsi" w:hAnsiTheme="minorHAnsi"/>
          <w:color w:val="000000"/>
          <w:sz w:val="22"/>
          <w:szCs w:val="22"/>
        </w:rPr>
        <w:t>I runda konkursowa – 2 310 697,68 zł</w:t>
      </w:r>
    </w:p>
    <w:p w:rsidR="00925E2B" w:rsidRPr="00BF0EEC" w:rsidRDefault="00925E2B" w:rsidP="00925E2B">
      <w:pPr>
        <w:pStyle w:val="ox-3c84ca6101-msonormal"/>
        <w:ind w:left="628"/>
        <w:rPr>
          <w:rFonts w:asciiTheme="minorHAnsi" w:hAnsiTheme="minorHAnsi"/>
          <w:color w:val="000000"/>
          <w:sz w:val="22"/>
          <w:szCs w:val="22"/>
        </w:rPr>
      </w:pPr>
      <w:r w:rsidRPr="00BF0EEC">
        <w:rPr>
          <w:rFonts w:asciiTheme="minorHAnsi" w:hAnsiTheme="minorHAnsi"/>
          <w:color w:val="000000"/>
          <w:sz w:val="22"/>
          <w:szCs w:val="22"/>
        </w:rPr>
        <w:t>II runda konkursowa – 1 888 396,40 zł</w:t>
      </w:r>
    </w:p>
    <w:p w:rsidR="00925E2B" w:rsidRPr="00BF0EEC" w:rsidRDefault="00925E2B" w:rsidP="00925E2B">
      <w:pPr>
        <w:pStyle w:val="ox-3c84ca6101-msonormal"/>
        <w:ind w:left="628"/>
        <w:rPr>
          <w:rFonts w:asciiTheme="minorHAnsi" w:hAnsiTheme="minorHAnsi"/>
          <w:color w:val="000000"/>
          <w:sz w:val="22"/>
          <w:szCs w:val="22"/>
        </w:rPr>
      </w:pPr>
      <w:r w:rsidRPr="00BF0EEC">
        <w:rPr>
          <w:rFonts w:asciiTheme="minorHAnsi" w:hAnsiTheme="minorHAnsi"/>
          <w:color w:val="000000"/>
          <w:sz w:val="22"/>
          <w:szCs w:val="22"/>
        </w:rPr>
        <w:t>III runda konkursowa –3 682 579,87 zł</w:t>
      </w:r>
    </w:p>
    <w:p w:rsidR="00925E2B" w:rsidRPr="00C53BA5" w:rsidRDefault="00925E2B" w:rsidP="00C53BA5">
      <w:pPr>
        <w:ind w:left="0" w:right="42" w:firstLine="0"/>
        <w:rPr>
          <w:color w:val="auto"/>
          <w:highlight w:val="yellow"/>
        </w:rPr>
      </w:pPr>
    </w:p>
    <w:p w:rsidR="00DA3E18" w:rsidRPr="00925E2B" w:rsidRDefault="00DA3E18" w:rsidP="00925E2B">
      <w:pPr>
        <w:pStyle w:val="Akapitzlist"/>
        <w:numPr>
          <w:ilvl w:val="0"/>
          <w:numId w:val="12"/>
        </w:numPr>
        <w:ind w:right="42"/>
        <w:rPr>
          <w:color w:val="auto"/>
        </w:rPr>
      </w:pPr>
      <w:r w:rsidRPr="00925E2B">
        <w:rPr>
          <w:color w:val="auto"/>
        </w:rPr>
        <w:t xml:space="preserve">W przypadku niewykorzystania w całości dostępnych środków w ramach konkursu </w:t>
      </w:r>
      <w:r w:rsidR="00A040CC" w:rsidRPr="00925E2B">
        <w:rPr>
          <w:color w:val="auto"/>
        </w:rPr>
        <w:t xml:space="preserve">operator </w:t>
      </w:r>
      <w:r w:rsidRPr="00925E2B">
        <w:rPr>
          <w:color w:val="auto"/>
        </w:rPr>
        <w:t>dopuszcza możliwość przesunięcia niewykorzystanych środków na kolejną rundę konkursową</w:t>
      </w:r>
      <w:r w:rsidR="00832C34" w:rsidRPr="00925E2B">
        <w:rPr>
          <w:color w:val="auto"/>
        </w:rPr>
        <w:t xml:space="preserve"> lub utworzenie dodatkowego naboru wniosków </w:t>
      </w:r>
      <w:r w:rsidR="00BD6F4F" w:rsidRPr="00925E2B">
        <w:rPr>
          <w:color w:val="auto"/>
        </w:rPr>
        <w:t>g</w:t>
      </w:r>
      <w:r w:rsidR="00832C34" w:rsidRPr="00925E2B">
        <w:rPr>
          <w:color w:val="auto"/>
        </w:rPr>
        <w:t>rantowych</w:t>
      </w:r>
      <w:r w:rsidRPr="00925E2B">
        <w:rPr>
          <w:color w:val="auto"/>
        </w:rPr>
        <w:t xml:space="preserve">. </w:t>
      </w:r>
    </w:p>
    <w:p w:rsidR="00ED037E" w:rsidRPr="001D3481" w:rsidRDefault="00ED037E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>Ocena złożonych wniosków odbywać się będzie w ramach posiedzenia Komisji Przyznającej Granty</w:t>
      </w:r>
      <w:r w:rsidR="00104CBB" w:rsidRPr="001D3481">
        <w:rPr>
          <w:color w:val="auto"/>
        </w:rPr>
        <w:t xml:space="preserve"> w oparciu o przygotowany przez </w:t>
      </w:r>
      <w:r w:rsidR="00A040CC" w:rsidRPr="001D3481">
        <w:rPr>
          <w:color w:val="auto"/>
        </w:rPr>
        <w:t xml:space="preserve">operatora </w:t>
      </w:r>
      <w:r w:rsidR="00104CBB" w:rsidRPr="001D3481">
        <w:rPr>
          <w:color w:val="auto"/>
        </w:rPr>
        <w:t xml:space="preserve">Regulamin gwarantujący </w:t>
      </w:r>
      <w:r w:rsidR="00C97438" w:rsidRPr="001D3481">
        <w:rPr>
          <w:color w:val="auto"/>
        </w:rPr>
        <w:t>pełną przejrzystość.</w:t>
      </w:r>
    </w:p>
    <w:p w:rsidR="00104CBB" w:rsidRPr="001D3481" w:rsidRDefault="00104CBB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>Komisja Przyznająca Granty złożona będzie z trzech niezależnych członków – dwóch ekspertów zewnętrznych oraz przedstawiciel</w:t>
      </w:r>
      <w:r w:rsidR="00832C34" w:rsidRPr="001D3481">
        <w:rPr>
          <w:color w:val="auto"/>
        </w:rPr>
        <w:t>a</w:t>
      </w:r>
      <w:r w:rsidRPr="001D3481">
        <w:rPr>
          <w:color w:val="auto"/>
        </w:rPr>
        <w:t xml:space="preserve"> </w:t>
      </w:r>
      <w:r w:rsidR="00A040CC" w:rsidRPr="001D3481">
        <w:rPr>
          <w:color w:val="auto"/>
        </w:rPr>
        <w:t>operatora</w:t>
      </w:r>
      <w:r w:rsidRPr="001D3481">
        <w:rPr>
          <w:color w:val="auto"/>
        </w:rPr>
        <w:t>. Wybór członków Komisji gwarantować będzie ich niezależność i brak interesu osobistego w procesie oceny.</w:t>
      </w:r>
    </w:p>
    <w:p w:rsidR="00B45D6B" w:rsidRPr="001D3481" w:rsidRDefault="00734454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>Złożone w odpowiedzi na konkurs wnioski oceniane będą pod kątem formalnym i merytorycznym.</w:t>
      </w:r>
    </w:p>
    <w:p w:rsidR="00734454" w:rsidRPr="001D3481" w:rsidRDefault="00734454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Weryfikacja i ocena złożonych wniosków nastąpi </w:t>
      </w:r>
      <w:r w:rsidRPr="001B5531">
        <w:rPr>
          <w:color w:val="auto"/>
        </w:rPr>
        <w:t xml:space="preserve">w ciągu </w:t>
      </w:r>
      <w:r w:rsidR="00BD6F4F" w:rsidRPr="001B5531">
        <w:rPr>
          <w:color w:val="auto"/>
        </w:rPr>
        <w:t>45</w:t>
      </w:r>
      <w:r w:rsidRPr="001B5531">
        <w:rPr>
          <w:color w:val="auto"/>
        </w:rPr>
        <w:t xml:space="preserve"> dni od</w:t>
      </w:r>
      <w:r w:rsidRPr="001D3481">
        <w:rPr>
          <w:color w:val="auto"/>
        </w:rPr>
        <w:t xml:space="preserve"> dnia zamknięcia naboru w ramach rundy konkursowej.</w:t>
      </w:r>
    </w:p>
    <w:p w:rsidR="00B45D6B" w:rsidRPr="001D3481" w:rsidRDefault="00B45D6B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Wnioski, które otrzymają co najmniej 60% punktów podczas oceny merytorycznej zostaną umieszczone na liście projektów rekomendowanych do </w:t>
      </w:r>
      <w:r w:rsidR="008F392F" w:rsidRPr="001D3481">
        <w:rPr>
          <w:color w:val="auto"/>
        </w:rPr>
        <w:t>przyznania</w:t>
      </w:r>
      <w:r w:rsidRPr="001D3481">
        <w:rPr>
          <w:color w:val="auto"/>
        </w:rPr>
        <w:t xml:space="preserve"> dofinansowania.</w:t>
      </w:r>
    </w:p>
    <w:p w:rsidR="00B45D6B" w:rsidRPr="001D3481" w:rsidRDefault="008F392F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Dofinansowanie zostanie przyznane wnioskodawcom znajdującym się na liście, o której mowa w pkt. </w:t>
      </w:r>
      <w:r w:rsidR="00BF4468" w:rsidRPr="001D3481">
        <w:rPr>
          <w:color w:val="auto"/>
        </w:rPr>
        <w:t>2.</w:t>
      </w:r>
      <w:r w:rsidRPr="001D3481">
        <w:rPr>
          <w:color w:val="auto"/>
        </w:rPr>
        <w:t>1</w:t>
      </w:r>
      <w:r w:rsidR="00BD6F4F" w:rsidRPr="001D3481">
        <w:rPr>
          <w:color w:val="auto"/>
        </w:rPr>
        <w:t>6</w:t>
      </w:r>
      <w:r w:rsidR="00BF4468" w:rsidRPr="001D3481">
        <w:rPr>
          <w:color w:val="auto"/>
        </w:rPr>
        <w:t>.</w:t>
      </w:r>
      <w:r w:rsidRPr="001D3481">
        <w:rPr>
          <w:color w:val="auto"/>
        </w:rPr>
        <w:t xml:space="preserve"> według najwyższej przyznanej punktacji do wyczerpania środków dostępnych w ramach konkursu.</w:t>
      </w:r>
    </w:p>
    <w:p w:rsidR="001A3BD3" w:rsidRPr="001D3481" w:rsidRDefault="001A3BD3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>Wszyscy wnioskodawcy otrzymają pisma z wynikami oceny i decyzją w sprawie przyznania/nie przyznania grantu.</w:t>
      </w:r>
    </w:p>
    <w:p w:rsidR="001A3BD3" w:rsidRPr="001D3481" w:rsidRDefault="001A3BD3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Lista wyników zostanie udostępniona na stronie internetowej właściwego </w:t>
      </w:r>
      <w:r w:rsidR="00A040CC" w:rsidRPr="001D3481">
        <w:rPr>
          <w:color w:val="auto"/>
        </w:rPr>
        <w:t xml:space="preserve">operatora </w:t>
      </w:r>
      <w:r w:rsidR="00832C34" w:rsidRPr="001D3481">
        <w:rPr>
          <w:color w:val="auto"/>
        </w:rPr>
        <w:t>oraz na stronie projektu</w:t>
      </w:r>
      <w:r w:rsidRPr="001D3481">
        <w:rPr>
          <w:color w:val="auto"/>
        </w:rPr>
        <w:t>.</w:t>
      </w:r>
    </w:p>
    <w:p w:rsidR="001A3BD3" w:rsidRPr="001D3481" w:rsidRDefault="001A3BD3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Wnioskodawcy będzie przysługiwać odwołanie od decyzji Komisji Przyznającej Granty. W tym celu będzie mógł złożyć w terminie 7 dni od otrzymania pisma odwołanie do właściwego </w:t>
      </w:r>
      <w:r w:rsidR="00A040CC" w:rsidRPr="001D3481">
        <w:rPr>
          <w:color w:val="auto"/>
        </w:rPr>
        <w:t>operatora</w:t>
      </w:r>
      <w:r w:rsidRPr="001D3481">
        <w:rPr>
          <w:color w:val="auto"/>
        </w:rPr>
        <w:t>.</w:t>
      </w:r>
    </w:p>
    <w:p w:rsidR="001A3BD3" w:rsidRPr="001D3481" w:rsidRDefault="00737932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Operator ustala </w:t>
      </w:r>
      <w:r w:rsidR="00B45D6B" w:rsidRPr="001D3481">
        <w:rPr>
          <w:color w:val="auto"/>
        </w:rPr>
        <w:t>10</w:t>
      </w:r>
      <w:r w:rsidRPr="001D3481">
        <w:rPr>
          <w:color w:val="auto"/>
        </w:rPr>
        <w:t>% rezerwę finansową w ramach konkursu na procedurę odwoła</w:t>
      </w:r>
      <w:r w:rsidR="00B45D6B" w:rsidRPr="001D3481">
        <w:rPr>
          <w:color w:val="auto"/>
        </w:rPr>
        <w:t>wczą z przeznaczeniem na podpisanie umów o dofinansowanie projektów wyłonionych w wyniku pozytywnego rozpatrzenia środków odwoławczych. Środki niewykorzystane z ww. rezerwy mogą zostać przeznaczone na dofinansowanie kolejnych wniosków z listy projektów, które spełniły kryteria i uzyskały wymaganą liczbę punktów.</w:t>
      </w:r>
    </w:p>
    <w:p w:rsidR="00963E8C" w:rsidRPr="00963E8C" w:rsidRDefault="00963E8C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>
        <w:rPr>
          <w:color w:val="auto"/>
        </w:rPr>
        <w:t>Lista wyników zostanie udostępniona na stronie internetowej właściwego operatora oraz na stronie projektu.</w:t>
      </w:r>
    </w:p>
    <w:p w:rsidR="00FB7B07" w:rsidRDefault="00FB7B07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>
        <w:rPr>
          <w:color w:val="auto"/>
        </w:rPr>
        <w:t xml:space="preserve">Minimalna wartość złożonego wniosku wynosi 15 000,00 PLN. </w:t>
      </w:r>
    </w:p>
    <w:p w:rsidR="00D210CE" w:rsidRPr="001D3481" w:rsidRDefault="00D210CE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Maksymalna wartość złożonego wniosku nie może przekraczać </w:t>
      </w:r>
      <w:r w:rsidR="00D46F1D" w:rsidRPr="001D3481">
        <w:rPr>
          <w:color w:val="auto"/>
        </w:rPr>
        <w:t>15</w:t>
      </w:r>
      <w:r w:rsidRPr="001D3481">
        <w:rPr>
          <w:color w:val="auto"/>
        </w:rPr>
        <w:t xml:space="preserve">0 000,00 PLN. </w:t>
      </w:r>
    </w:p>
    <w:p w:rsidR="00832C34" w:rsidRPr="001D3481" w:rsidRDefault="00832C34" w:rsidP="00925E2B">
      <w:pPr>
        <w:pStyle w:val="Akapitzlist"/>
        <w:numPr>
          <w:ilvl w:val="0"/>
          <w:numId w:val="12"/>
        </w:numPr>
        <w:ind w:left="851" w:right="42" w:hanging="425"/>
        <w:rPr>
          <w:color w:val="auto"/>
        </w:rPr>
      </w:pPr>
      <w:r w:rsidRPr="001D3481">
        <w:rPr>
          <w:color w:val="auto"/>
        </w:rPr>
        <w:t xml:space="preserve">Maksymalny czas trwania mikroprojektu nie przekroczy </w:t>
      </w:r>
      <w:r w:rsidR="00FB7B07">
        <w:rPr>
          <w:color w:val="auto"/>
        </w:rPr>
        <w:t>10</w:t>
      </w:r>
      <w:r w:rsidRPr="001B5531">
        <w:rPr>
          <w:color w:val="auto"/>
        </w:rPr>
        <w:t xml:space="preserve"> m-</w:t>
      </w:r>
      <w:proofErr w:type="spellStart"/>
      <w:r w:rsidRPr="001B5531">
        <w:rPr>
          <w:color w:val="auto"/>
        </w:rPr>
        <w:t>cy</w:t>
      </w:r>
      <w:proofErr w:type="spellEnd"/>
      <w:r w:rsidRPr="001D3481">
        <w:rPr>
          <w:color w:val="auto"/>
        </w:rPr>
        <w:t>.</w:t>
      </w:r>
    </w:p>
    <w:p w:rsidR="000067CE" w:rsidRPr="001D3481" w:rsidRDefault="000067CE">
      <w:pPr>
        <w:spacing w:after="56" w:line="259" w:lineRule="auto"/>
        <w:ind w:left="0" w:right="0" w:firstLine="0"/>
        <w:jc w:val="left"/>
        <w:rPr>
          <w:color w:val="auto"/>
        </w:rPr>
      </w:pPr>
    </w:p>
    <w:p w:rsidR="000067CE" w:rsidRPr="001D3481" w:rsidRDefault="00B15854" w:rsidP="00BF4468">
      <w:pPr>
        <w:pStyle w:val="Nagwek2"/>
        <w:numPr>
          <w:ilvl w:val="0"/>
          <w:numId w:val="30"/>
        </w:numPr>
        <w:spacing w:after="12"/>
        <w:ind w:hanging="628"/>
        <w:rPr>
          <w:b/>
          <w:color w:val="auto"/>
          <w:highlight w:val="lightGray"/>
        </w:rPr>
      </w:pPr>
      <w:bookmarkStart w:id="8" w:name="_Toc494625521"/>
      <w:bookmarkStart w:id="9" w:name="_Toc8864"/>
      <w:r w:rsidRPr="001D3481">
        <w:rPr>
          <w:b/>
          <w:color w:val="auto"/>
          <w:highlight w:val="lightGray"/>
        </w:rPr>
        <w:t>Elementy wniosku o grant</w:t>
      </w:r>
      <w:bookmarkEnd w:id="8"/>
      <w:r w:rsidRPr="001D3481">
        <w:rPr>
          <w:b/>
          <w:color w:val="auto"/>
          <w:highlight w:val="lightGray"/>
        </w:rPr>
        <w:t xml:space="preserve">  </w:t>
      </w:r>
      <w:bookmarkEnd w:id="9"/>
    </w:p>
    <w:p w:rsidR="006A188A" w:rsidRPr="001D3481" w:rsidRDefault="006A188A">
      <w:pPr>
        <w:spacing w:after="8"/>
        <w:ind w:left="0" w:right="42" w:firstLine="0"/>
        <w:rPr>
          <w:color w:val="auto"/>
        </w:rPr>
      </w:pPr>
    </w:p>
    <w:p w:rsidR="006313F0" w:rsidRPr="001D3481" w:rsidRDefault="002908FD">
      <w:pPr>
        <w:spacing w:after="8"/>
        <w:ind w:left="0" w:right="42" w:firstLine="0"/>
        <w:rPr>
          <w:color w:val="auto"/>
        </w:rPr>
      </w:pPr>
      <w:r w:rsidRPr="001D3481">
        <w:rPr>
          <w:color w:val="auto"/>
        </w:rPr>
        <w:t xml:space="preserve">Wniosek </w:t>
      </w:r>
      <w:r w:rsidR="006313F0" w:rsidRPr="001D3481">
        <w:rPr>
          <w:color w:val="auto"/>
        </w:rPr>
        <w:t xml:space="preserve">o przyznanie grantu na mikroprojekt opracowany na potrzeby konkursu zawierać będzie następujące </w:t>
      </w:r>
      <w:r w:rsidR="00466AC0" w:rsidRPr="001D3481">
        <w:rPr>
          <w:color w:val="auto"/>
        </w:rPr>
        <w:t>elementy</w:t>
      </w:r>
      <w:r w:rsidR="006313F0" w:rsidRPr="001D3481">
        <w:rPr>
          <w:color w:val="auto"/>
        </w:rPr>
        <w:t>:</w:t>
      </w:r>
    </w:p>
    <w:p w:rsidR="00466AC0" w:rsidRPr="001D3481" w:rsidRDefault="00466AC0" w:rsidP="003B41A5">
      <w:pPr>
        <w:pStyle w:val="Akapitzlist"/>
        <w:numPr>
          <w:ilvl w:val="0"/>
          <w:numId w:val="26"/>
        </w:numPr>
        <w:spacing w:after="8"/>
        <w:ind w:right="42"/>
        <w:rPr>
          <w:color w:val="auto"/>
        </w:rPr>
      </w:pPr>
      <w:r w:rsidRPr="001D3481">
        <w:rPr>
          <w:color w:val="auto"/>
        </w:rPr>
        <w:t xml:space="preserve">Część ogólna (m.in. nazwa </w:t>
      </w:r>
      <w:proofErr w:type="spellStart"/>
      <w:r w:rsidR="00A040CC" w:rsidRPr="001D3481">
        <w:rPr>
          <w:color w:val="auto"/>
        </w:rPr>
        <w:t>grantobiorcy</w:t>
      </w:r>
      <w:proofErr w:type="spellEnd"/>
      <w:r w:rsidRPr="001D3481">
        <w:rPr>
          <w:color w:val="auto"/>
        </w:rPr>
        <w:t xml:space="preserve">, nazwa i miejsce realizacji przedsięwzięcia, </w:t>
      </w:r>
      <w:r w:rsidR="00490538" w:rsidRPr="001D3481">
        <w:rPr>
          <w:color w:val="auto"/>
        </w:rPr>
        <w:t>planowane daty rozpoczęcia i zakończenia realizacji przedsięwzięcia).</w:t>
      </w:r>
    </w:p>
    <w:p w:rsidR="00490538" w:rsidRPr="001D3481" w:rsidRDefault="00466AC0" w:rsidP="003B41A5">
      <w:pPr>
        <w:pStyle w:val="Akapitzlist"/>
        <w:numPr>
          <w:ilvl w:val="0"/>
          <w:numId w:val="26"/>
        </w:numPr>
        <w:spacing w:after="8"/>
        <w:ind w:right="42"/>
        <w:rPr>
          <w:color w:val="auto"/>
        </w:rPr>
      </w:pPr>
      <w:r w:rsidRPr="001D3481">
        <w:rPr>
          <w:color w:val="auto"/>
        </w:rPr>
        <w:t>Część merytoryczna (</w:t>
      </w:r>
      <w:r w:rsidR="00490538" w:rsidRPr="001D3481">
        <w:rPr>
          <w:color w:val="auto"/>
        </w:rPr>
        <w:t xml:space="preserve">m.in. </w:t>
      </w:r>
      <w:r w:rsidRPr="001D3481">
        <w:rPr>
          <w:color w:val="auto"/>
        </w:rPr>
        <w:t>opis przedsięwzięcia,</w:t>
      </w:r>
      <w:r w:rsidR="00832C34" w:rsidRPr="001D3481">
        <w:rPr>
          <w:color w:val="auto"/>
        </w:rPr>
        <w:t xml:space="preserve"> opis grupy docelowej i uzasadnienie jej wyboru, uzasadnienie wyboru miejsca realizacji projektu i obszaru objętego wsparciem, uzasadnienie wyboru </w:t>
      </w:r>
      <w:r w:rsidR="00C47884" w:rsidRPr="001D3481">
        <w:rPr>
          <w:color w:val="auto"/>
        </w:rPr>
        <w:t>modułów tematycznych: „Rodzic w Internecie”, „Mój biznes w sieci”,  „Moje finanse i transakcje w sieci”, „Działam w sieciach społecznościowych”, „Tworzę własną stronę internetową (blog)”, „Rolnik w sieci”, „Kultura w sieci” wraz z odniesieniem do potrzeb grupy docelowej,</w:t>
      </w:r>
      <w:r w:rsidRPr="001D3481">
        <w:rPr>
          <w:color w:val="auto"/>
        </w:rPr>
        <w:t xml:space="preserve"> </w:t>
      </w:r>
      <w:r w:rsidR="003B41A5" w:rsidRPr="001D3481">
        <w:rPr>
          <w:color w:val="auto"/>
        </w:rPr>
        <w:t xml:space="preserve">opis działań promocyjnych, sposób rekrutacji, </w:t>
      </w:r>
      <w:r w:rsidR="00490538" w:rsidRPr="001D3481">
        <w:rPr>
          <w:color w:val="auto"/>
        </w:rPr>
        <w:t>zakładane rezultaty</w:t>
      </w:r>
      <w:r w:rsidR="003B41A5" w:rsidRPr="001D3481">
        <w:rPr>
          <w:color w:val="auto"/>
        </w:rPr>
        <w:t>,</w:t>
      </w:r>
      <w:r w:rsidR="00521BE1" w:rsidRPr="001D3481">
        <w:rPr>
          <w:color w:val="auto"/>
        </w:rPr>
        <w:t xml:space="preserve"> analiza ryzyka,</w:t>
      </w:r>
      <w:r w:rsidR="003B41A5" w:rsidRPr="001D3481">
        <w:rPr>
          <w:color w:val="auto"/>
        </w:rPr>
        <w:t xml:space="preserve"> potencjał kadrowy wnioskodawcy</w:t>
      </w:r>
      <w:r w:rsidR="00521BE1" w:rsidRPr="001D3481">
        <w:rPr>
          <w:color w:val="auto"/>
        </w:rPr>
        <w:t>, efekt trwałości</w:t>
      </w:r>
      <w:r w:rsidR="003B41A5" w:rsidRPr="001D3481">
        <w:rPr>
          <w:color w:val="auto"/>
        </w:rPr>
        <w:t>)</w:t>
      </w:r>
    </w:p>
    <w:p w:rsidR="00466AC0" w:rsidRPr="001D3481" w:rsidRDefault="003B41A5" w:rsidP="003B41A5">
      <w:pPr>
        <w:pStyle w:val="Akapitzlist"/>
        <w:numPr>
          <w:ilvl w:val="0"/>
          <w:numId w:val="26"/>
        </w:numPr>
        <w:spacing w:after="8"/>
        <w:ind w:right="42"/>
        <w:rPr>
          <w:color w:val="auto"/>
        </w:rPr>
      </w:pPr>
      <w:r w:rsidRPr="001D3481">
        <w:rPr>
          <w:color w:val="auto"/>
        </w:rPr>
        <w:t xml:space="preserve">Część finansowa (m.in. </w:t>
      </w:r>
      <w:r w:rsidR="00466AC0" w:rsidRPr="001D3481">
        <w:rPr>
          <w:color w:val="auto"/>
        </w:rPr>
        <w:t>wartość przedsięwzięcia</w:t>
      </w:r>
      <w:r w:rsidRPr="001D3481">
        <w:rPr>
          <w:color w:val="auto"/>
        </w:rPr>
        <w:t>,</w:t>
      </w:r>
      <w:r w:rsidR="00466AC0" w:rsidRPr="001D3481">
        <w:rPr>
          <w:color w:val="auto"/>
        </w:rPr>
        <w:t xml:space="preserve"> koszty kwalifikowalne</w:t>
      </w:r>
      <w:r w:rsidRPr="001D3481">
        <w:rPr>
          <w:color w:val="auto"/>
        </w:rPr>
        <w:t>,</w:t>
      </w:r>
      <w:r w:rsidR="00466AC0" w:rsidRPr="001D3481">
        <w:rPr>
          <w:color w:val="auto"/>
        </w:rPr>
        <w:t xml:space="preserve"> źródła finansowania przedsięwzięcia</w:t>
      </w:r>
      <w:r w:rsidR="00521BE1" w:rsidRPr="001D3481">
        <w:rPr>
          <w:color w:val="auto"/>
        </w:rPr>
        <w:t>, harmonogram rzeczowo-finansowy</w:t>
      </w:r>
      <w:r w:rsidRPr="001D3481">
        <w:rPr>
          <w:color w:val="auto"/>
        </w:rPr>
        <w:t>)</w:t>
      </w:r>
    </w:p>
    <w:p w:rsidR="002908FD" w:rsidRPr="001D3481" w:rsidRDefault="00521BE1">
      <w:pPr>
        <w:spacing w:after="8"/>
        <w:ind w:left="0" w:right="42" w:firstLine="0"/>
        <w:rPr>
          <w:color w:val="auto"/>
        </w:rPr>
      </w:pPr>
      <w:r w:rsidRPr="001D3481">
        <w:rPr>
          <w:color w:val="auto"/>
        </w:rPr>
        <w:t>W przypadku, gdy wnioskodawca przewiduje finansowanie zakupu sprzętu w projekcie, do wniosku o grant powinien załączyć efekt inwentaryzacji oraz analizy potrzeb wskazujący na niezbędność realizacji takiego zakupu</w:t>
      </w:r>
      <w:r w:rsidR="00C47884" w:rsidRPr="001D3481">
        <w:rPr>
          <w:color w:val="auto"/>
        </w:rPr>
        <w:t xml:space="preserve"> oraz dokumenty potwierdzające uzasadnienie ekonomiczne wskazanego kosztu (min. 3 oferty)</w:t>
      </w:r>
      <w:r w:rsidRPr="001D3481">
        <w:rPr>
          <w:color w:val="auto"/>
        </w:rPr>
        <w:t>.</w:t>
      </w:r>
    </w:p>
    <w:p w:rsidR="000067CE" w:rsidRPr="001D3481" w:rsidRDefault="000067CE">
      <w:pPr>
        <w:spacing w:after="56" w:line="259" w:lineRule="auto"/>
        <w:ind w:left="0" w:right="0" w:firstLine="0"/>
        <w:jc w:val="left"/>
        <w:rPr>
          <w:color w:val="auto"/>
        </w:rPr>
      </w:pPr>
    </w:p>
    <w:p w:rsidR="000067CE" w:rsidRPr="001D3481" w:rsidRDefault="00B15854" w:rsidP="00BF4468">
      <w:pPr>
        <w:pStyle w:val="Nagwek2"/>
        <w:numPr>
          <w:ilvl w:val="0"/>
          <w:numId w:val="30"/>
        </w:numPr>
        <w:ind w:hanging="628"/>
        <w:rPr>
          <w:b/>
          <w:color w:val="auto"/>
          <w:highlight w:val="lightGray"/>
        </w:rPr>
      </w:pPr>
      <w:bookmarkStart w:id="10" w:name="_Toc494625522"/>
      <w:bookmarkStart w:id="11" w:name="_Toc8865"/>
      <w:r w:rsidRPr="001D3481">
        <w:rPr>
          <w:b/>
          <w:color w:val="auto"/>
          <w:highlight w:val="lightGray"/>
        </w:rPr>
        <w:t>Wydatki kwalifikowalne w mikroprojektach</w:t>
      </w:r>
      <w:bookmarkEnd w:id="10"/>
      <w:r w:rsidRPr="001D3481">
        <w:rPr>
          <w:b/>
          <w:color w:val="auto"/>
          <w:highlight w:val="lightGray"/>
        </w:rPr>
        <w:t xml:space="preserve"> </w:t>
      </w:r>
      <w:bookmarkEnd w:id="11"/>
      <w:r w:rsidR="00470373" w:rsidRPr="001D3481">
        <w:rPr>
          <w:b/>
          <w:color w:val="auto"/>
          <w:highlight w:val="lightGray"/>
        </w:rPr>
        <w:br/>
      </w:r>
    </w:p>
    <w:p w:rsidR="000067CE" w:rsidRPr="001D3481" w:rsidRDefault="00B15854" w:rsidP="00922F4E">
      <w:pPr>
        <w:numPr>
          <w:ilvl w:val="0"/>
          <w:numId w:val="3"/>
        </w:numPr>
        <w:ind w:right="42" w:hanging="421"/>
        <w:rPr>
          <w:color w:val="auto"/>
        </w:rPr>
      </w:pPr>
      <w:r w:rsidRPr="001D3481">
        <w:rPr>
          <w:color w:val="auto"/>
        </w:rPr>
        <w:t xml:space="preserve">Wydatki </w:t>
      </w:r>
      <w:proofErr w:type="spellStart"/>
      <w:r w:rsidR="00A040CC" w:rsidRPr="001D3481">
        <w:rPr>
          <w:color w:val="auto"/>
        </w:rPr>
        <w:t>grantobiorcy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 xml:space="preserve">w poszczególnych kategoriach nie mogą przekraczać: </w:t>
      </w:r>
    </w:p>
    <w:p w:rsidR="000067CE" w:rsidRPr="001D3481" w:rsidRDefault="00B15854" w:rsidP="00E5204A">
      <w:pPr>
        <w:pStyle w:val="Akapitzlist"/>
        <w:numPr>
          <w:ilvl w:val="0"/>
          <w:numId w:val="27"/>
        </w:numPr>
        <w:ind w:right="42"/>
        <w:rPr>
          <w:color w:val="auto"/>
        </w:rPr>
      </w:pPr>
      <w:r w:rsidRPr="001D3481">
        <w:rPr>
          <w:color w:val="auto"/>
        </w:rPr>
        <w:t xml:space="preserve">wydatki na promocję – 20% kwoty grantu </w:t>
      </w:r>
    </w:p>
    <w:p w:rsidR="000067CE" w:rsidRPr="001D3481" w:rsidRDefault="00B15854" w:rsidP="00E5204A">
      <w:pPr>
        <w:pStyle w:val="Akapitzlist"/>
        <w:numPr>
          <w:ilvl w:val="0"/>
          <w:numId w:val="27"/>
        </w:numPr>
        <w:ind w:right="42"/>
        <w:rPr>
          <w:color w:val="auto"/>
        </w:rPr>
      </w:pPr>
      <w:r w:rsidRPr="001D3481">
        <w:rPr>
          <w:color w:val="auto"/>
        </w:rPr>
        <w:t xml:space="preserve">wydatki na sprzęt – 40% kwoty grantu. Zakupiony sprzęt powinien spełniać minimalne wymagania zdefiniowane w </w:t>
      </w:r>
      <w:r w:rsidRPr="001D3481">
        <w:rPr>
          <w:i/>
          <w:color w:val="auto"/>
        </w:rPr>
        <w:t>Wytycznych dla zakupu sprzętu w projekcie</w:t>
      </w:r>
      <w:r w:rsidR="00FB7B07">
        <w:rPr>
          <w:color w:val="auto"/>
        </w:rPr>
        <w:t>, który stanowi załącznik nr 1 do niniejszego Schematu</w:t>
      </w:r>
      <w:r w:rsidRPr="001D3481">
        <w:rPr>
          <w:color w:val="auto"/>
        </w:rPr>
        <w:t xml:space="preserve">. </w:t>
      </w:r>
    </w:p>
    <w:p w:rsidR="009F12DB" w:rsidRPr="001D3481" w:rsidRDefault="00A040CC" w:rsidP="00E5204A">
      <w:pPr>
        <w:pStyle w:val="Akapitzlist"/>
        <w:numPr>
          <w:ilvl w:val="0"/>
          <w:numId w:val="27"/>
        </w:numPr>
        <w:ind w:right="42"/>
        <w:rPr>
          <w:color w:val="auto"/>
        </w:rPr>
      </w:pPr>
      <w:proofErr w:type="spellStart"/>
      <w:r w:rsidRPr="001D3481">
        <w:rPr>
          <w:color w:val="auto"/>
          <w:szCs w:val="24"/>
        </w:rPr>
        <w:t>grantobiorca</w:t>
      </w:r>
      <w:proofErr w:type="spellEnd"/>
      <w:r w:rsidRPr="001D3481">
        <w:rPr>
          <w:color w:val="auto"/>
          <w:szCs w:val="24"/>
        </w:rPr>
        <w:t xml:space="preserve"> </w:t>
      </w:r>
      <w:r w:rsidR="009F12DB" w:rsidRPr="001D3481">
        <w:rPr>
          <w:color w:val="auto"/>
          <w:szCs w:val="24"/>
        </w:rPr>
        <w:t>przewidzi dalsze wykorzystanie zakupionego z grantu sprzętu w szkole, ośrodku doskonalenia nauczycieli</w:t>
      </w:r>
      <w:r w:rsidR="00B4593E" w:rsidRPr="001D3481">
        <w:rPr>
          <w:color w:val="auto"/>
          <w:szCs w:val="24"/>
        </w:rPr>
        <w:t xml:space="preserve">. Sprzęt nie może zostać przekazany do szkół lub ośrodków doskonalenia nauczycieli, które uzyskały analogiczne wsparcie w ramach innych programów operacyjnych perspektywy 2014-2020.  </w:t>
      </w:r>
    </w:p>
    <w:p w:rsidR="000067CE" w:rsidRPr="001D3481" w:rsidRDefault="00B15854" w:rsidP="00E5204A">
      <w:pPr>
        <w:pStyle w:val="Akapitzlist"/>
        <w:numPr>
          <w:ilvl w:val="0"/>
          <w:numId w:val="27"/>
        </w:numPr>
        <w:ind w:right="42"/>
        <w:rPr>
          <w:color w:val="auto"/>
        </w:rPr>
      </w:pPr>
      <w:r w:rsidRPr="001D3481">
        <w:rPr>
          <w:color w:val="auto"/>
        </w:rPr>
        <w:t xml:space="preserve">wydatki na organizację szkoleń (catering, materiały, wynajem sali itp., z wyłączeniem wynagrodzeń) – 20% kwoty grantu </w:t>
      </w:r>
    </w:p>
    <w:p w:rsidR="000067CE" w:rsidRPr="001D3481" w:rsidRDefault="00B15854" w:rsidP="00E5204A">
      <w:pPr>
        <w:pStyle w:val="Akapitzlist"/>
        <w:numPr>
          <w:ilvl w:val="0"/>
          <w:numId w:val="27"/>
        </w:numPr>
        <w:ind w:right="42"/>
        <w:rPr>
          <w:color w:val="auto"/>
        </w:rPr>
      </w:pPr>
      <w:r w:rsidRPr="001D3481">
        <w:rPr>
          <w:color w:val="auto"/>
        </w:rPr>
        <w:t xml:space="preserve">wydatki na wynagrodzenia kadry instruktorskiej – 40% kwoty grantu </w:t>
      </w:r>
    </w:p>
    <w:p w:rsidR="000067CE" w:rsidRPr="001D3481" w:rsidRDefault="00B15854" w:rsidP="00E5204A">
      <w:pPr>
        <w:pStyle w:val="Akapitzlist"/>
        <w:numPr>
          <w:ilvl w:val="0"/>
          <w:numId w:val="27"/>
        </w:numPr>
        <w:spacing w:after="19"/>
        <w:ind w:right="42"/>
        <w:rPr>
          <w:color w:val="auto"/>
        </w:rPr>
      </w:pPr>
      <w:r w:rsidRPr="001D3481">
        <w:rPr>
          <w:color w:val="auto"/>
        </w:rPr>
        <w:t xml:space="preserve">wydatki na administrację/zarządzanie – 20% kwoty grantu </w:t>
      </w:r>
    </w:p>
    <w:p w:rsidR="000067CE" w:rsidRPr="001D3481" w:rsidRDefault="00B15854" w:rsidP="00922F4E">
      <w:pPr>
        <w:numPr>
          <w:ilvl w:val="0"/>
          <w:numId w:val="3"/>
        </w:numPr>
        <w:spacing w:after="13"/>
        <w:ind w:right="42" w:hanging="421"/>
        <w:rPr>
          <w:color w:val="auto"/>
        </w:rPr>
      </w:pPr>
      <w:r w:rsidRPr="001D3481">
        <w:rPr>
          <w:color w:val="auto"/>
        </w:rPr>
        <w:t xml:space="preserve">Proporcje poszczególnych kategorii proponuje </w:t>
      </w:r>
      <w:proofErr w:type="spellStart"/>
      <w:r w:rsidR="00470373" w:rsidRPr="001D3481">
        <w:rPr>
          <w:color w:val="auto"/>
        </w:rPr>
        <w:t>G</w:t>
      </w:r>
      <w:r w:rsidRPr="001D3481">
        <w:rPr>
          <w:color w:val="auto"/>
        </w:rPr>
        <w:t>rantobiorca</w:t>
      </w:r>
      <w:proofErr w:type="spellEnd"/>
      <w:r w:rsidRPr="001D3481">
        <w:rPr>
          <w:color w:val="auto"/>
        </w:rPr>
        <w:t xml:space="preserve">.  </w:t>
      </w:r>
    </w:p>
    <w:p w:rsidR="000067CE" w:rsidRPr="001D3481" w:rsidRDefault="00B15854">
      <w:pPr>
        <w:spacing w:after="56" w:line="259" w:lineRule="auto"/>
        <w:ind w:left="36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 w:rsidP="00BF4468">
      <w:pPr>
        <w:pStyle w:val="Nagwek2"/>
        <w:numPr>
          <w:ilvl w:val="0"/>
          <w:numId w:val="30"/>
        </w:numPr>
        <w:ind w:hanging="628"/>
        <w:rPr>
          <w:b/>
          <w:color w:val="auto"/>
          <w:highlight w:val="lightGray"/>
        </w:rPr>
      </w:pPr>
      <w:bookmarkStart w:id="12" w:name="_Toc494625523"/>
      <w:bookmarkStart w:id="13" w:name="_Toc8866"/>
      <w:r w:rsidRPr="001D3481">
        <w:rPr>
          <w:b/>
          <w:color w:val="auto"/>
          <w:highlight w:val="lightGray"/>
        </w:rPr>
        <w:t>Umowa o powierzenie grant</w:t>
      </w:r>
      <w:r w:rsidR="005251CC" w:rsidRPr="001D3481">
        <w:rPr>
          <w:b/>
          <w:color w:val="auto"/>
          <w:highlight w:val="lightGray"/>
        </w:rPr>
        <w:t>u</w:t>
      </w:r>
      <w:r w:rsidRPr="001D3481">
        <w:rPr>
          <w:b/>
          <w:color w:val="auto"/>
          <w:highlight w:val="lightGray"/>
        </w:rPr>
        <w:t xml:space="preserve"> oraz dopuszczalne zmiany</w:t>
      </w:r>
      <w:bookmarkEnd w:id="12"/>
      <w:r w:rsidRPr="001D3481">
        <w:rPr>
          <w:b/>
          <w:color w:val="auto"/>
          <w:highlight w:val="lightGray"/>
        </w:rPr>
        <w:t xml:space="preserve">  </w:t>
      </w:r>
      <w:bookmarkEnd w:id="13"/>
      <w:r w:rsidR="00470373" w:rsidRPr="001D3481">
        <w:rPr>
          <w:b/>
          <w:color w:val="auto"/>
          <w:highlight w:val="lightGray"/>
        </w:rPr>
        <w:br/>
      </w:r>
    </w:p>
    <w:p w:rsidR="0027205F" w:rsidRPr="001D3481" w:rsidRDefault="0027205F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>Zasady realizacji mikroprojektu w ramach otrzymanego grantu re</w:t>
      </w:r>
      <w:r w:rsidR="00BD7349" w:rsidRPr="001D3481">
        <w:rPr>
          <w:color w:val="auto"/>
        </w:rPr>
        <w:t>g</w:t>
      </w:r>
      <w:r w:rsidRPr="001D3481">
        <w:rPr>
          <w:color w:val="auto"/>
        </w:rPr>
        <w:t xml:space="preserve">ulować będzie </w:t>
      </w:r>
      <w:r w:rsidR="00BD7349" w:rsidRPr="001D3481">
        <w:rPr>
          <w:color w:val="auto"/>
        </w:rPr>
        <w:t xml:space="preserve">umowa </w:t>
      </w:r>
      <w:r w:rsidR="005251CC" w:rsidRPr="001D3481">
        <w:rPr>
          <w:color w:val="auto"/>
        </w:rPr>
        <w:t xml:space="preserve">o powierzenie grantu </w:t>
      </w:r>
      <w:r w:rsidR="00BD7349" w:rsidRPr="001D3481">
        <w:rPr>
          <w:color w:val="auto"/>
        </w:rPr>
        <w:t xml:space="preserve">zawarta między </w:t>
      </w:r>
      <w:r w:rsidR="00A040CC" w:rsidRPr="001D3481">
        <w:rPr>
          <w:color w:val="auto"/>
        </w:rPr>
        <w:t xml:space="preserve">operatorem </w:t>
      </w:r>
      <w:r w:rsidR="00BD7349" w:rsidRPr="001D3481">
        <w:rPr>
          <w:color w:val="auto"/>
        </w:rPr>
        <w:t xml:space="preserve">a </w:t>
      </w:r>
      <w:proofErr w:type="spellStart"/>
      <w:r w:rsidR="00A040CC" w:rsidRPr="001D3481">
        <w:rPr>
          <w:color w:val="auto"/>
        </w:rPr>
        <w:t>grantobiorcą</w:t>
      </w:r>
      <w:proofErr w:type="spellEnd"/>
      <w:r w:rsidR="00BD7349" w:rsidRPr="001D3481">
        <w:rPr>
          <w:color w:val="auto"/>
        </w:rPr>
        <w:t>.</w:t>
      </w:r>
    </w:p>
    <w:p w:rsidR="000067CE" w:rsidRPr="001D3481" w:rsidRDefault="00BD7349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Zakres umowy będzie zgodny z art. 35 ust. 6 ustawy wdrożeniowej i będzie obejmować </w:t>
      </w:r>
      <w:r w:rsidR="00B15854" w:rsidRPr="001D3481">
        <w:rPr>
          <w:color w:val="auto"/>
        </w:rPr>
        <w:t xml:space="preserve">w szczególności zadania </w:t>
      </w:r>
      <w:proofErr w:type="spellStart"/>
      <w:r w:rsidR="00A040CC" w:rsidRPr="001D3481">
        <w:rPr>
          <w:color w:val="auto"/>
        </w:rPr>
        <w:t>grantobiorcy</w:t>
      </w:r>
      <w:proofErr w:type="spellEnd"/>
      <w:r w:rsidR="00A040CC" w:rsidRPr="001D3481">
        <w:rPr>
          <w:color w:val="auto"/>
        </w:rPr>
        <w:t xml:space="preserve"> </w:t>
      </w:r>
      <w:r w:rsidR="00B15854" w:rsidRPr="001D3481">
        <w:rPr>
          <w:color w:val="auto"/>
        </w:rPr>
        <w:t xml:space="preserve">objęte grantem, kwotę grantu, warunki przekazania i rozliczenia grantu, harmonogram rzeczowo-finansowy, liczbę osób przewidzianych do przeszkolenia, zobowiązanie do zwrotu grantu w przypadku wykorzystania go niezgodnie z celami projektu grantowego, zobowiązanie do zwrotu części grantu odpowiadającej niezrealizowanym rezultatom projektu dotyczącym działań szkoleniowych lub realizacji poniżej standardów określonych przez </w:t>
      </w:r>
      <w:r w:rsidR="00A040CC" w:rsidRPr="001D3481">
        <w:rPr>
          <w:color w:val="auto"/>
        </w:rPr>
        <w:t>operatora</w:t>
      </w:r>
      <w:r w:rsidR="00B15854" w:rsidRPr="001D3481">
        <w:rPr>
          <w:color w:val="auto"/>
        </w:rPr>
        <w:t xml:space="preserve">, zobowiązanie do poddania się kontroli przeprowadzonej przez </w:t>
      </w:r>
      <w:r w:rsidR="00A040CC" w:rsidRPr="001D3481">
        <w:rPr>
          <w:color w:val="auto"/>
        </w:rPr>
        <w:t xml:space="preserve">operatora </w:t>
      </w:r>
      <w:r w:rsidR="00B15854" w:rsidRPr="001D3481">
        <w:rPr>
          <w:color w:val="auto"/>
        </w:rPr>
        <w:t xml:space="preserve">lub uprawnione podmioty. Przez niewykorzystanie grantu w całości rozumie się przeszkolenie mniejszej liczby uczestników szkoleń niż przewidziano w umowie. </w:t>
      </w:r>
    </w:p>
    <w:p w:rsidR="00BD7349" w:rsidRPr="001D3481" w:rsidRDefault="00BD7349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Zgodnie z zawartą umową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zobowiązany będzie do wydatkowania grantu zgodnie z przepisami obowiązującego prawa, w sposób oszczędny, w okresie realizacji projektu i zgodnie z jego celami.</w:t>
      </w:r>
    </w:p>
    <w:p w:rsidR="000067CE" w:rsidRPr="001D3481" w:rsidRDefault="00B15854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proofErr w:type="spellStart"/>
      <w:r w:rsidRPr="001D3481">
        <w:rPr>
          <w:color w:val="auto"/>
        </w:rPr>
        <w:t>Grantobiorca</w:t>
      </w:r>
      <w:proofErr w:type="spellEnd"/>
      <w:r w:rsidRPr="001D3481">
        <w:rPr>
          <w:color w:val="auto"/>
        </w:rPr>
        <w:t xml:space="preserve"> dokonując zakupu sprzętu komputerowego w mikroprojekcie o wartości równej lub niższej niż kwota określona w art. 4 pkt 8 </w:t>
      </w:r>
      <w:proofErr w:type="spellStart"/>
      <w:r w:rsidRPr="001D3481">
        <w:rPr>
          <w:color w:val="auto"/>
        </w:rPr>
        <w:t>Pzp</w:t>
      </w:r>
      <w:proofErr w:type="spellEnd"/>
      <w:r w:rsidRPr="001D3481">
        <w:rPr>
          <w:color w:val="auto"/>
        </w:rPr>
        <w:t xml:space="preserve">, a jednocześnie przekraczającej 50 tys. PLN netto, tj. bez podatku od towarów i usług (VAT), jest zobligowany do stosowania bazy konkurencyjności dostępnej pod adresem </w:t>
      </w:r>
      <w:hyperlink r:id="rId9">
        <w:r w:rsidRPr="001D3481">
          <w:rPr>
            <w:color w:val="auto"/>
            <w:u w:val="single" w:color="0563C1"/>
          </w:rPr>
          <w:t>https://bazakonkurencyjnosci.funduszeeuropejskie.gov.pl/</w:t>
        </w:r>
      </w:hyperlink>
      <w:hyperlink r:id="rId10">
        <w:r w:rsidRPr="001D3481">
          <w:rPr>
            <w:color w:val="auto"/>
          </w:rPr>
          <w:t xml:space="preserve"> </w:t>
        </w:r>
      </w:hyperlink>
      <w:r w:rsidRPr="001D3481">
        <w:rPr>
          <w:color w:val="auto"/>
        </w:rPr>
        <w:t xml:space="preserve"> </w:t>
      </w:r>
    </w:p>
    <w:p w:rsidR="00BD7349" w:rsidRPr="001D3481" w:rsidRDefault="00BD7349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proofErr w:type="spellStart"/>
      <w:r w:rsidRPr="001D3481">
        <w:rPr>
          <w:color w:val="auto"/>
        </w:rPr>
        <w:t>Grantobiorca</w:t>
      </w:r>
      <w:proofErr w:type="spellEnd"/>
      <w:r w:rsidR="00452574" w:rsidRPr="001D3481">
        <w:rPr>
          <w:color w:val="auto"/>
        </w:rPr>
        <w:t>,</w:t>
      </w:r>
      <w:r w:rsidRPr="001D3481">
        <w:rPr>
          <w:color w:val="auto"/>
        </w:rPr>
        <w:t xml:space="preserve"> zgodnie z umową</w:t>
      </w:r>
      <w:r w:rsidR="00452574" w:rsidRPr="001D3481">
        <w:rPr>
          <w:color w:val="auto"/>
        </w:rPr>
        <w:t>,</w:t>
      </w:r>
      <w:r w:rsidRPr="001D3481">
        <w:rPr>
          <w:color w:val="auto"/>
        </w:rPr>
        <w:t xml:space="preserve"> zobowiązany będzie do udostępnienia na wybranej przez siebie otwartej licencji każdego utworu wypracowanego w ramach realizowanego mikroprojektu wraz z jego publikacją oraz przesłania go do wiadomości </w:t>
      </w:r>
      <w:r w:rsidR="00A040CC" w:rsidRPr="001D3481">
        <w:rPr>
          <w:color w:val="auto"/>
        </w:rPr>
        <w:t>operatora</w:t>
      </w:r>
      <w:r w:rsidRPr="001D3481">
        <w:rPr>
          <w:color w:val="auto"/>
        </w:rPr>
        <w:t>.</w:t>
      </w:r>
    </w:p>
    <w:p w:rsidR="00BD7349" w:rsidRPr="001D3481" w:rsidRDefault="00BD7349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Przed rozpoczęciem każdego szkolenia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zobowiązany będzie do przeprowadzenia wstępnego testu kompetencji cyfrowych, a na zakończenie szkolenia ankiety ewaluacyjnej w systemie elektronicznym dostarczonym przez Ministerstwo Cyfryzacji.</w:t>
      </w:r>
    </w:p>
    <w:p w:rsidR="001455CC" w:rsidRPr="001D3481" w:rsidRDefault="001455CC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W celach zapewnienia możliwości przetwarzania danych osobowych uczestników szkoleń oraz przeprowadzenia ewaluacji po zakończeniu projektu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zobowiązany będzie do uzyskania zgody od uczestników szkoleń na kontakt ze strony Instytucji Pośredniczącej lub Ministerstwa Cyfryzacji.</w:t>
      </w:r>
    </w:p>
    <w:p w:rsidR="001455CC" w:rsidRPr="001D3481" w:rsidRDefault="001455CC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Umowa </w:t>
      </w:r>
      <w:r w:rsidR="002A08AE" w:rsidRPr="001D3481">
        <w:rPr>
          <w:color w:val="auto"/>
        </w:rPr>
        <w:t>nakładać</w:t>
      </w:r>
      <w:r w:rsidRPr="001D3481">
        <w:rPr>
          <w:color w:val="auto"/>
        </w:rPr>
        <w:t xml:space="preserve"> będzie na </w:t>
      </w:r>
      <w:proofErr w:type="spellStart"/>
      <w:r w:rsidR="00A040CC" w:rsidRPr="001D3481">
        <w:rPr>
          <w:color w:val="auto"/>
        </w:rPr>
        <w:t>grantobiorcę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wymóg stosowania Wytycznych w zakresie kwalifikowalności wydatków w ramach Europejskiego Funduszu Rozwoju Regionalnego, Europejskiego Funduszu Społecznego oraz Funduszu Spójności na lata 2014-2020 w zakresie podrozdziału 6.5 Zamówienia udzielane w ramach projektów.</w:t>
      </w:r>
    </w:p>
    <w:p w:rsidR="003B5978" w:rsidRPr="001D3481" w:rsidRDefault="003B5978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Operator dopuszcza dokonywanie zmian w harmonogramie rzeczowo-finansowym bez uzyskania uprzedniej zgody. W takiej sytuacji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 xml:space="preserve">przesyła zaktualizowany harmonogram do informacji </w:t>
      </w:r>
      <w:r w:rsidR="00A040CC" w:rsidRPr="001D3481">
        <w:rPr>
          <w:color w:val="auto"/>
        </w:rPr>
        <w:t xml:space="preserve">operatora </w:t>
      </w:r>
      <w:r w:rsidRPr="001D3481">
        <w:rPr>
          <w:color w:val="auto"/>
        </w:rPr>
        <w:t>w ciągu 5 dni od dokonania zmiany.</w:t>
      </w:r>
    </w:p>
    <w:p w:rsidR="001455CC" w:rsidRPr="001D3481" w:rsidRDefault="003B5978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>Pozostałe zmiany do umowy są możliwe</w:t>
      </w:r>
      <w:r w:rsidR="001455CC" w:rsidRPr="001D3481">
        <w:rPr>
          <w:color w:val="auto"/>
        </w:rPr>
        <w:t xml:space="preserve"> </w:t>
      </w:r>
      <w:r w:rsidRPr="001D3481">
        <w:rPr>
          <w:color w:val="auto"/>
        </w:rPr>
        <w:t xml:space="preserve">do wprowadzenia </w:t>
      </w:r>
      <w:r w:rsidR="001455CC" w:rsidRPr="001D3481">
        <w:rPr>
          <w:color w:val="auto"/>
        </w:rPr>
        <w:t xml:space="preserve">po uprzedniej akceptacji ze strony </w:t>
      </w:r>
      <w:r w:rsidR="00A040CC" w:rsidRPr="001D3481">
        <w:rPr>
          <w:color w:val="auto"/>
        </w:rPr>
        <w:t>operatora</w:t>
      </w:r>
      <w:r w:rsidR="001455CC" w:rsidRPr="001D3481">
        <w:rPr>
          <w:color w:val="auto"/>
        </w:rPr>
        <w:t xml:space="preserve">. W celu wprowadzenia zmian do umowy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="001455CC" w:rsidRPr="001D3481">
        <w:rPr>
          <w:color w:val="auto"/>
        </w:rPr>
        <w:t xml:space="preserve">składa pisemny wniosek </w:t>
      </w:r>
      <w:r w:rsidRPr="001D3481">
        <w:rPr>
          <w:color w:val="auto"/>
        </w:rPr>
        <w:t>nie później niż 30 dni przed planowanym zakończeniem realizacji mikroprojektu.</w:t>
      </w:r>
    </w:p>
    <w:p w:rsidR="001455CC" w:rsidRPr="001D3481" w:rsidRDefault="003B5978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>Wprowadzenie zmian w zakresie zmniejszenia zakładanych wskaźników dotyczących liczby przeszkolonych osób wiąże się z proporcjonalnym obniżeniem kwoty przyznanego dofinansowania.</w:t>
      </w:r>
    </w:p>
    <w:p w:rsidR="007B00C2" w:rsidRPr="001D3481" w:rsidRDefault="007B00C2" w:rsidP="00BD7349">
      <w:pPr>
        <w:pStyle w:val="Akapitzlist"/>
        <w:numPr>
          <w:ilvl w:val="0"/>
          <w:numId w:val="31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Zgodnie z umową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Pr="001D3481">
        <w:rPr>
          <w:color w:val="auto"/>
        </w:rPr>
        <w:t>, który wykorzysta przyznany grant niezgodnie z jego przeznaczeniem</w:t>
      </w:r>
      <w:r w:rsidR="00452574" w:rsidRPr="001D3481">
        <w:rPr>
          <w:color w:val="auto"/>
        </w:rPr>
        <w:t>,</w:t>
      </w:r>
      <w:r w:rsidRPr="001D3481">
        <w:rPr>
          <w:color w:val="auto"/>
        </w:rPr>
        <w:t xml:space="preserve"> </w:t>
      </w:r>
      <w:r w:rsidR="000B0B31" w:rsidRPr="001D3481">
        <w:rPr>
          <w:color w:val="auto"/>
        </w:rPr>
        <w:t>będzie zobowiązany do zwrotu całości otrzymanego dofinansowania w ciągu 30 dni od stwierdzenia tego faktu.</w:t>
      </w:r>
    </w:p>
    <w:p w:rsidR="000067CE" w:rsidRPr="001D3481" w:rsidRDefault="000067CE">
      <w:pPr>
        <w:spacing w:after="58" w:line="259" w:lineRule="auto"/>
        <w:ind w:left="720" w:right="0" w:firstLine="0"/>
        <w:jc w:val="left"/>
        <w:rPr>
          <w:color w:val="auto"/>
        </w:rPr>
      </w:pPr>
    </w:p>
    <w:p w:rsidR="000067CE" w:rsidRPr="001D3481" w:rsidRDefault="00B15854" w:rsidP="000B0B31">
      <w:pPr>
        <w:pStyle w:val="Nagwek2"/>
        <w:numPr>
          <w:ilvl w:val="0"/>
          <w:numId w:val="30"/>
        </w:numPr>
        <w:ind w:hanging="628"/>
        <w:rPr>
          <w:b/>
          <w:color w:val="auto"/>
          <w:highlight w:val="lightGray"/>
        </w:rPr>
      </w:pPr>
      <w:bookmarkStart w:id="14" w:name="_Toc494625524"/>
      <w:bookmarkStart w:id="15" w:name="_Toc8867"/>
      <w:r w:rsidRPr="001D3481">
        <w:rPr>
          <w:b/>
          <w:color w:val="auto"/>
          <w:highlight w:val="lightGray"/>
        </w:rPr>
        <w:t>Tryb wypłacania grantów</w:t>
      </w:r>
      <w:bookmarkEnd w:id="14"/>
      <w:r w:rsidRPr="001D3481">
        <w:rPr>
          <w:b/>
          <w:color w:val="auto"/>
          <w:highlight w:val="lightGray"/>
        </w:rPr>
        <w:t xml:space="preserve"> </w:t>
      </w:r>
      <w:bookmarkEnd w:id="15"/>
    </w:p>
    <w:p w:rsidR="00BA19FE" w:rsidRPr="001D3481" w:rsidRDefault="00BA19FE" w:rsidP="00BA19FE">
      <w:pPr>
        <w:ind w:left="705" w:right="42" w:firstLine="0"/>
        <w:rPr>
          <w:color w:val="auto"/>
        </w:rPr>
      </w:pPr>
    </w:p>
    <w:p w:rsidR="001F357E" w:rsidRPr="001D3481" w:rsidRDefault="001F357E" w:rsidP="00922F4E">
      <w:pPr>
        <w:numPr>
          <w:ilvl w:val="0"/>
          <w:numId w:val="29"/>
        </w:numPr>
        <w:ind w:right="42" w:hanging="421"/>
        <w:rPr>
          <w:color w:val="auto"/>
        </w:rPr>
      </w:pPr>
      <w:r w:rsidRPr="001D3481">
        <w:rPr>
          <w:color w:val="auto"/>
        </w:rPr>
        <w:t xml:space="preserve">Wypłata grantów będzie następowała na podstawie harmonogramu </w:t>
      </w:r>
      <w:r w:rsidR="002C033A" w:rsidRPr="001D3481">
        <w:rPr>
          <w:color w:val="auto"/>
        </w:rPr>
        <w:t xml:space="preserve">sporządzonego przez </w:t>
      </w:r>
      <w:proofErr w:type="spellStart"/>
      <w:r w:rsidR="00A040CC" w:rsidRPr="001D3481">
        <w:rPr>
          <w:color w:val="auto"/>
        </w:rPr>
        <w:t>grantobiorcę</w:t>
      </w:r>
      <w:proofErr w:type="spellEnd"/>
      <w:r w:rsidR="008F7B43" w:rsidRPr="001D3481">
        <w:rPr>
          <w:color w:val="auto"/>
        </w:rPr>
        <w:t>,</w:t>
      </w:r>
      <w:r w:rsidR="002C033A" w:rsidRPr="001D3481">
        <w:rPr>
          <w:color w:val="auto"/>
        </w:rPr>
        <w:t xml:space="preserve"> </w:t>
      </w:r>
      <w:r w:rsidRPr="001D3481">
        <w:rPr>
          <w:color w:val="auto"/>
        </w:rPr>
        <w:t>stanowiącego załącznik do umowy o udzielenie grantu.</w:t>
      </w:r>
    </w:p>
    <w:p w:rsidR="002C033A" w:rsidRPr="001D3481" w:rsidRDefault="002C033A" w:rsidP="00922F4E">
      <w:pPr>
        <w:numPr>
          <w:ilvl w:val="0"/>
          <w:numId w:val="29"/>
        </w:numPr>
        <w:ind w:right="42" w:hanging="421"/>
        <w:rPr>
          <w:color w:val="auto"/>
        </w:rPr>
      </w:pPr>
      <w:r w:rsidRPr="001D3481">
        <w:rPr>
          <w:color w:val="auto"/>
        </w:rPr>
        <w:t>Harmonogram może podlegać aktualizacji.</w:t>
      </w:r>
    </w:p>
    <w:p w:rsidR="000067CE" w:rsidRPr="001D3481" w:rsidRDefault="00054CDB" w:rsidP="00922F4E">
      <w:pPr>
        <w:numPr>
          <w:ilvl w:val="0"/>
          <w:numId w:val="29"/>
        </w:numPr>
        <w:ind w:right="42" w:hanging="421"/>
        <w:rPr>
          <w:color w:val="auto"/>
        </w:rPr>
      </w:pPr>
      <w:r w:rsidRPr="001D3481">
        <w:rPr>
          <w:color w:val="auto"/>
        </w:rPr>
        <w:t xml:space="preserve">Operator wypłaci </w:t>
      </w:r>
      <w:proofErr w:type="spellStart"/>
      <w:r w:rsidR="00A040CC" w:rsidRPr="001D3481">
        <w:rPr>
          <w:color w:val="auto"/>
        </w:rPr>
        <w:t>grantobiorcy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przyznaną w umowie o udzielnie grantu kwotę dofinansowania w dwóch transzach z zastrzeżeniem, że pierwsza transza nie może przekroczyć 40% całości przyznanego dofinansowania.</w:t>
      </w:r>
    </w:p>
    <w:p w:rsidR="00054CDB" w:rsidRPr="001D3481" w:rsidRDefault="00054CDB" w:rsidP="00922F4E">
      <w:pPr>
        <w:numPr>
          <w:ilvl w:val="0"/>
          <w:numId w:val="29"/>
        </w:numPr>
        <w:ind w:right="42" w:hanging="421"/>
        <w:rPr>
          <w:color w:val="auto"/>
        </w:rPr>
      </w:pPr>
      <w:r w:rsidRPr="001D3481">
        <w:rPr>
          <w:color w:val="auto"/>
        </w:rPr>
        <w:t xml:space="preserve">Wypłata pozostałej części grantu nastąpi po przedstawieniu postępów realizacji mikroprojektu i zatwierdzeniu przez operatora </w:t>
      </w:r>
      <w:r w:rsidR="001F357E" w:rsidRPr="001D3481">
        <w:rPr>
          <w:color w:val="auto"/>
        </w:rPr>
        <w:t>co najmniej</w:t>
      </w:r>
      <w:r w:rsidRPr="001D3481">
        <w:rPr>
          <w:color w:val="auto"/>
        </w:rPr>
        <w:t xml:space="preserve"> 70% </w:t>
      </w:r>
      <w:r w:rsidR="001F357E" w:rsidRPr="001D3481">
        <w:rPr>
          <w:color w:val="auto"/>
        </w:rPr>
        <w:t>wydatkowanej</w:t>
      </w:r>
      <w:r w:rsidRPr="001D3481">
        <w:rPr>
          <w:color w:val="auto"/>
        </w:rPr>
        <w:t xml:space="preserve"> pierwszej transzy.</w:t>
      </w:r>
    </w:p>
    <w:p w:rsidR="002C033A" w:rsidRPr="001D3481" w:rsidRDefault="002C033A" w:rsidP="00922F4E">
      <w:pPr>
        <w:numPr>
          <w:ilvl w:val="0"/>
          <w:numId w:val="29"/>
        </w:numPr>
        <w:ind w:right="42" w:hanging="421"/>
        <w:rPr>
          <w:color w:val="auto"/>
        </w:rPr>
      </w:pPr>
      <w:r w:rsidRPr="001D3481">
        <w:rPr>
          <w:color w:val="auto"/>
        </w:rPr>
        <w:t>Podstawą rozliczenia będzie raport sprawozdawczo-finansowy przedstawiający osiągnięte wskaźniki i stopień wydatkowania środków</w:t>
      </w:r>
      <w:r w:rsidR="00D673BD" w:rsidRPr="001D3481">
        <w:rPr>
          <w:color w:val="auto"/>
        </w:rPr>
        <w:t xml:space="preserve">.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="00D673BD" w:rsidRPr="001D3481">
        <w:rPr>
          <w:color w:val="auto"/>
        </w:rPr>
        <w:t>zastrzega sobie również możliwość weryfikacji dokumentów źródłowych.</w:t>
      </w:r>
    </w:p>
    <w:p w:rsidR="000067CE" w:rsidRPr="001D3481" w:rsidRDefault="00973944" w:rsidP="00922F4E">
      <w:pPr>
        <w:numPr>
          <w:ilvl w:val="0"/>
          <w:numId w:val="29"/>
        </w:numPr>
        <w:ind w:right="42" w:hanging="421"/>
        <w:rPr>
          <w:color w:val="auto"/>
        </w:rPr>
      </w:pPr>
      <w:r w:rsidRPr="001D3481">
        <w:rPr>
          <w:color w:val="auto"/>
        </w:rPr>
        <w:t>G</w:t>
      </w:r>
      <w:r w:rsidR="00B15854" w:rsidRPr="001D3481">
        <w:rPr>
          <w:color w:val="auto"/>
        </w:rPr>
        <w:t xml:space="preserve">rant będzie przekazywany na wyodrębniony rachunek wskazany przez </w:t>
      </w:r>
      <w:proofErr w:type="spellStart"/>
      <w:r w:rsidR="00A040CC" w:rsidRPr="001D3481">
        <w:rPr>
          <w:color w:val="auto"/>
        </w:rPr>
        <w:t>grantobiorcę</w:t>
      </w:r>
      <w:proofErr w:type="spellEnd"/>
      <w:r w:rsidR="00A040CC" w:rsidRPr="001D3481">
        <w:rPr>
          <w:color w:val="auto"/>
        </w:rPr>
        <w:t xml:space="preserve"> </w:t>
      </w:r>
      <w:r w:rsidR="00B15854" w:rsidRPr="001D3481">
        <w:rPr>
          <w:color w:val="auto"/>
        </w:rPr>
        <w:t xml:space="preserve">w umowie o powierzenie grantu. </w:t>
      </w:r>
    </w:p>
    <w:p w:rsidR="00D673BD" w:rsidRPr="001D3481" w:rsidRDefault="00D673BD" w:rsidP="00922F4E">
      <w:pPr>
        <w:numPr>
          <w:ilvl w:val="0"/>
          <w:numId w:val="29"/>
        </w:numPr>
        <w:ind w:right="42" w:hanging="421"/>
        <w:rPr>
          <w:color w:val="auto"/>
        </w:rPr>
      </w:pPr>
      <w:r w:rsidRPr="001D3481">
        <w:rPr>
          <w:color w:val="auto"/>
        </w:rPr>
        <w:t xml:space="preserve">Ostateczne dokonanie wypłaty grantu na rzecz </w:t>
      </w:r>
      <w:proofErr w:type="spellStart"/>
      <w:r w:rsidR="00A040CC" w:rsidRPr="001D3481">
        <w:rPr>
          <w:color w:val="auto"/>
        </w:rPr>
        <w:t>grantobiorcy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uzależnione będzie od otrzymania środków projektowych od Instytucji Pośredniczącej.</w:t>
      </w:r>
    </w:p>
    <w:p w:rsidR="00D673BD" w:rsidRPr="001D3481" w:rsidRDefault="00D673BD" w:rsidP="00922F4E">
      <w:pPr>
        <w:numPr>
          <w:ilvl w:val="0"/>
          <w:numId w:val="29"/>
        </w:numPr>
        <w:ind w:right="42" w:hanging="421"/>
        <w:rPr>
          <w:color w:val="auto"/>
        </w:rPr>
      </w:pPr>
      <w:r w:rsidRPr="001D3481">
        <w:rPr>
          <w:color w:val="auto"/>
        </w:rPr>
        <w:t>W przypadku opóźnień w realizacji mikroprojektu</w:t>
      </w:r>
      <w:r w:rsidR="008F7B43" w:rsidRPr="001D3481">
        <w:rPr>
          <w:color w:val="auto"/>
        </w:rPr>
        <w:t>,</w:t>
      </w:r>
      <w:r w:rsidRPr="001D3481">
        <w:rPr>
          <w:color w:val="auto"/>
        </w:rPr>
        <w:t xml:space="preserve">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będzie mógł wystąpić do operatora z wnioskiem o zawieszenie wypłaty kolejnej transzy grantu do czasu podjęcia działań zaradczych.</w:t>
      </w:r>
    </w:p>
    <w:p w:rsidR="001353FE" w:rsidRPr="001D3481" w:rsidRDefault="001353FE" w:rsidP="001353FE">
      <w:pPr>
        <w:ind w:left="714" w:right="42" w:firstLine="0"/>
        <w:rPr>
          <w:color w:val="auto"/>
        </w:rPr>
      </w:pPr>
    </w:p>
    <w:p w:rsidR="00922F4E" w:rsidRPr="001D3481" w:rsidRDefault="000B0B31" w:rsidP="00922F4E">
      <w:pPr>
        <w:pStyle w:val="Nagwek2"/>
        <w:ind w:left="0" w:firstLine="0"/>
        <w:rPr>
          <w:b/>
          <w:color w:val="auto"/>
        </w:rPr>
      </w:pPr>
      <w:bookmarkStart w:id="16" w:name="_Toc494625525"/>
      <w:bookmarkStart w:id="17" w:name="_Toc8868"/>
      <w:r w:rsidRPr="001D3481">
        <w:rPr>
          <w:b/>
          <w:color w:val="auto"/>
          <w:highlight w:val="lightGray"/>
        </w:rPr>
        <w:t>7</w:t>
      </w:r>
      <w:r w:rsidR="006A3758" w:rsidRPr="001D3481">
        <w:rPr>
          <w:b/>
          <w:color w:val="auto"/>
          <w:highlight w:val="lightGray"/>
        </w:rPr>
        <w:t>.</w:t>
      </w:r>
      <w:r w:rsidR="001353FE" w:rsidRPr="001D3481">
        <w:rPr>
          <w:b/>
          <w:color w:val="auto"/>
          <w:highlight w:val="lightGray"/>
        </w:rPr>
        <w:tab/>
      </w:r>
      <w:r w:rsidR="00B15854" w:rsidRPr="001D3481">
        <w:rPr>
          <w:b/>
          <w:color w:val="auto"/>
          <w:highlight w:val="lightGray"/>
        </w:rPr>
        <w:t>Zasady dotyczące rozliczania grantów</w:t>
      </w:r>
      <w:bookmarkEnd w:id="16"/>
      <w:r w:rsidR="00B15854" w:rsidRPr="001D3481">
        <w:rPr>
          <w:b/>
          <w:color w:val="auto"/>
        </w:rPr>
        <w:t xml:space="preserve"> </w:t>
      </w:r>
      <w:bookmarkEnd w:id="17"/>
      <w:r w:rsidR="00B15854" w:rsidRPr="001D3481">
        <w:rPr>
          <w:rFonts w:ascii="Arial" w:eastAsia="Arial" w:hAnsi="Arial" w:cs="Arial"/>
          <w:color w:val="auto"/>
        </w:rPr>
        <w:t xml:space="preserve"> </w:t>
      </w:r>
    </w:p>
    <w:p w:rsidR="00BA19FE" w:rsidRPr="001D3481" w:rsidRDefault="00BA19FE" w:rsidP="00BA19FE">
      <w:pPr>
        <w:pStyle w:val="Akapitzlist"/>
        <w:ind w:left="709" w:right="42" w:firstLine="0"/>
        <w:rPr>
          <w:color w:val="auto"/>
        </w:rPr>
      </w:pPr>
    </w:p>
    <w:p w:rsidR="00922F4E" w:rsidRPr="001D3481" w:rsidRDefault="00922F4E" w:rsidP="00922F4E">
      <w:pPr>
        <w:pStyle w:val="Akapitzlist"/>
        <w:numPr>
          <w:ilvl w:val="0"/>
          <w:numId w:val="32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Rozliczenie otrzymanego dofinansowania na realizację mikroprojektu następować będzie na podstawie </w:t>
      </w:r>
      <w:r w:rsidR="00BE71D9" w:rsidRPr="001D3481">
        <w:rPr>
          <w:color w:val="auto"/>
        </w:rPr>
        <w:t>sprawozdania cząstkowego i końcowego</w:t>
      </w:r>
      <w:r w:rsidR="00022F53" w:rsidRPr="001D3481">
        <w:rPr>
          <w:color w:val="auto"/>
        </w:rPr>
        <w:t xml:space="preserve"> obejmującego część rzeczową i finansową</w:t>
      </w:r>
      <w:r w:rsidR="00FB5A71" w:rsidRPr="001D3481">
        <w:rPr>
          <w:color w:val="auto"/>
        </w:rPr>
        <w:t>.</w:t>
      </w:r>
    </w:p>
    <w:p w:rsidR="00F71E62" w:rsidRPr="001D3481" w:rsidRDefault="00F71E62" w:rsidP="00922F4E">
      <w:pPr>
        <w:pStyle w:val="Akapitzlist"/>
        <w:numPr>
          <w:ilvl w:val="0"/>
          <w:numId w:val="32"/>
        </w:numPr>
        <w:ind w:left="709" w:right="42" w:hanging="425"/>
        <w:rPr>
          <w:color w:val="auto"/>
        </w:rPr>
      </w:pPr>
      <w:r w:rsidRPr="001D3481">
        <w:rPr>
          <w:color w:val="auto"/>
        </w:rPr>
        <w:t>Zatwierdzenie sprawozdania cząstkowego będzie stanowić podstawę wypłaty drugiej transzy grantu.</w:t>
      </w:r>
    </w:p>
    <w:p w:rsidR="002D4E73" w:rsidRPr="001D3481" w:rsidRDefault="002D4E73" w:rsidP="002D4E73">
      <w:pPr>
        <w:pStyle w:val="Akapitzlist"/>
        <w:numPr>
          <w:ilvl w:val="0"/>
          <w:numId w:val="32"/>
        </w:numPr>
        <w:ind w:left="709" w:right="42" w:hanging="425"/>
        <w:rPr>
          <w:color w:val="auto"/>
        </w:rPr>
      </w:pPr>
      <w:r w:rsidRPr="001D3481">
        <w:rPr>
          <w:color w:val="auto"/>
        </w:rPr>
        <w:t>Operator dokonuje weryfikacji sprawozdania w terminie 10 dni roboczych od daty jego złożenia.</w:t>
      </w:r>
    </w:p>
    <w:p w:rsidR="00F71E62" w:rsidRPr="001D3481" w:rsidRDefault="00F71E62" w:rsidP="00922F4E">
      <w:pPr>
        <w:pStyle w:val="Akapitzlist"/>
        <w:numPr>
          <w:ilvl w:val="0"/>
          <w:numId w:val="32"/>
        </w:numPr>
        <w:ind w:left="709" w:right="42" w:hanging="425"/>
        <w:rPr>
          <w:color w:val="auto"/>
        </w:rPr>
      </w:pPr>
      <w:proofErr w:type="spellStart"/>
      <w:r w:rsidRPr="001D3481">
        <w:rPr>
          <w:color w:val="auto"/>
        </w:rPr>
        <w:t>Grantobiorca</w:t>
      </w:r>
      <w:proofErr w:type="spellEnd"/>
      <w:r w:rsidRPr="001D3481">
        <w:rPr>
          <w:color w:val="auto"/>
        </w:rPr>
        <w:t xml:space="preserve"> będzie zobowiązany do złożenia sprawozdania końcowego w terminie </w:t>
      </w:r>
      <w:r w:rsidR="008F7B43" w:rsidRPr="001D3481">
        <w:rPr>
          <w:color w:val="auto"/>
        </w:rPr>
        <w:t>10</w:t>
      </w:r>
      <w:r w:rsidRPr="001D3481">
        <w:rPr>
          <w:color w:val="auto"/>
        </w:rPr>
        <w:t xml:space="preserve"> dni</w:t>
      </w:r>
      <w:r w:rsidR="008F7B43" w:rsidRPr="001D3481">
        <w:rPr>
          <w:color w:val="auto"/>
        </w:rPr>
        <w:t xml:space="preserve"> roboczych</w:t>
      </w:r>
      <w:r w:rsidRPr="001D3481">
        <w:rPr>
          <w:color w:val="auto"/>
        </w:rPr>
        <w:t xml:space="preserve"> od zakończenia realizacji mikroprojektu. </w:t>
      </w:r>
      <w:r w:rsidR="001238F4" w:rsidRPr="001D3481">
        <w:rPr>
          <w:color w:val="auto"/>
        </w:rPr>
        <w:t>Pozytywna ocena sprawozdania jest równoznaczna z całkowitym rozliczeniem grantu.</w:t>
      </w:r>
    </w:p>
    <w:p w:rsidR="004C2626" w:rsidRPr="001D3481" w:rsidRDefault="000655C5" w:rsidP="00922F4E">
      <w:pPr>
        <w:pStyle w:val="Akapitzlist"/>
        <w:numPr>
          <w:ilvl w:val="0"/>
          <w:numId w:val="32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W składanym sprawozdaniu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="004C2626" w:rsidRPr="001D3481">
        <w:rPr>
          <w:color w:val="auto"/>
        </w:rPr>
        <w:t xml:space="preserve">potwierdzi </w:t>
      </w:r>
      <w:r w:rsidR="00F71E62" w:rsidRPr="001D3481">
        <w:rPr>
          <w:color w:val="auto"/>
        </w:rPr>
        <w:t>rea</w:t>
      </w:r>
      <w:r w:rsidRPr="001D3481">
        <w:rPr>
          <w:color w:val="auto"/>
        </w:rPr>
        <w:t>lizację zadań przewidzianych we wniosku i w umowie u udzielenie grantu</w:t>
      </w:r>
      <w:r w:rsidR="00F71E62" w:rsidRPr="001D3481">
        <w:rPr>
          <w:color w:val="auto"/>
        </w:rPr>
        <w:t xml:space="preserve">. Podstawę rozliczenia stanowić będzie </w:t>
      </w:r>
      <w:r w:rsidR="004C2626" w:rsidRPr="001D3481">
        <w:rPr>
          <w:color w:val="auto"/>
        </w:rPr>
        <w:t xml:space="preserve">stopień osiągniętych rezultatów mikroprojektu wraz z dokumentacją </w:t>
      </w:r>
      <w:r w:rsidR="00585A44" w:rsidRPr="001D3481">
        <w:rPr>
          <w:color w:val="auto"/>
        </w:rPr>
        <w:t>potwierdzającą zrealizowanie szkoleń (kopie list obecności podpisane przez uczestników wraz z datami szkoleń, imionami i nazwiskami prowadzących oraz nazwami modułów szkoleniowych)</w:t>
      </w:r>
      <w:r w:rsidRPr="001D3481">
        <w:rPr>
          <w:color w:val="auto"/>
        </w:rPr>
        <w:t xml:space="preserve"> oraz oświadczenie o wydatkowaniu otrzymanego dofinansowania zgodnie z przeznaczeniem. </w:t>
      </w:r>
    </w:p>
    <w:p w:rsidR="0074112E" w:rsidRPr="001D3481" w:rsidRDefault="00F71E62" w:rsidP="0074112E">
      <w:pPr>
        <w:pStyle w:val="Akapitzlist"/>
        <w:numPr>
          <w:ilvl w:val="0"/>
          <w:numId w:val="32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Na etapie zatwierdzania sprawozdania </w:t>
      </w:r>
      <w:r w:rsidR="00A040CC" w:rsidRPr="001D3481">
        <w:rPr>
          <w:color w:val="auto"/>
        </w:rPr>
        <w:t xml:space="preserve">operator </w:t>
      </w:r>
      <w:r w:rsidRPr="001D3481">
        <w:rPr>
          <w:color w:val="auto"/>
        </w:rPr>
        <w:t>nie będzie wymagał przedłożenia dokumentów księgowych potwierdzających poniesienie wydatków w ramach przyznanego grantu.</w:t>
      </w:r>
    </w:p>
    <w:p w:rsidR="000067CE" w:rsidRPr="001D3481" w:rsidRDefault="00B15854" w:rsidP="0074112E">
      <w:pPr>
        <w:pStyle w:val="Akapitzlist"/>
        <w:numPr>
          <w:ilvl w:val="0"/>
          <w:numId w:val="32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Dokumenty finansowo-księgowe mogą podlegać kontroli, zgodnie z </w:t>
      </w:r>
      <w:r w:rsidR="009C7A0E" w:rsidRPr="001D3481">
        <w:rPr>
          <w:color w:val="auto"/>
        </w:rPr>
        <w:t xml:space="preserve">zapisami </w:t>
      </w:r>
      <w:r w:rsidR="00FC4E4A">
        <w:rPr>
          <w:color w:val="auto"/>
        </w:rPr>
        <w:t>części</w:t>
      </w:r>
      <w:r w:rsidR="009C7A0E" w:rsidRPr="001D3481">
        <w:rPr>
          <w:color w:val="auto"/>
        </w:rPr>
        <w:t xml:space="preserve"> 8</w:t>
      </w:r>
      <w:r w:rsidRPr="001D3481">
        <w:rPr>
          <w:color w:val="auto"/>
        </w:rPr>
        <w:t xml:space="preserve">.  </w:t>
      </w:r>
    </w:p>
    <w:p w:rsidR="0074112E" w:rsidRPr="001D3481" w:rsidRDefault="0074112E" w:rsidP="0074112E">
      <w:pPr>
        <w:pStyle w:val="Akapitzlist"/>
        <w:numPr>
          <w:ilvl w:val="0"/>
          <w:numId w:val="32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W przypadku częściowego zrealizowania mikroprojektu, tzn. </w:t>
      </w:r>
      <w:proofErr w:type="spellStart"/>
      <w:r w:rsidRPr="001D3481">
        <w:rPr>
          <w:color w:val="auto"/>
        </w:rPr>
        <w:t>nieprzeszkolenia</w:t>
      </w:r>
      <w:proofErr w:type="spellEnd"/>
      <w:r w:rsidRPr="001D3481">
        <w:rPr>
          <w:color w:val="auto"/>
        </w:rPr>
        <w:t xml:space="preserve"> założonej liczby uczestników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zobowiązany będzie do zwrotu proporcjonalnej części grantu.</w:t>
      </w:r>
    </w:p>
    <w:p w:rsidR="00C53BA5" w:rsidRDefault="00C53BA5">
      <w:pPr>
        <w:spacing w:after="20" w:line="259" w:lineRule="auto"/>
        <w:ind w:left="708" w:right="0" w:firstLine="0"/>
        <w:jc w:val="left"/>
        <w:rPr>
          <w:color w:val="auto"/>
        </w:rPr>
      </w:pPr>
    </w:p>
    <w:p w:rsidR="000067CE" w:rsidRPr="001D3481" w:rsidRDefault="00B15854">
      <w:pPr>
        <w:spacing w:after="20" w:line="259" w:lineRule="auto"/>
        <w:ind w:left="708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0067CE" w:rsidRPr="001D3481" w:rsidRDefault="00B15854" w:rsidP="00BA19FE">
      <w:pPr>
        <w:pStyle w:val="Nagwek2"/>
        <w:numPr>
          <w:ilvl w:val="0"/>
          <w:numId w:val="36"/>
        </w:numPr>
        <w:ind w:hanging="705"/>
        <w:rPr>
          <w:b/>
          <w:color w:val="auto"/>
          <w:highlight w:val="lightGray"/>
        </w:rPr>
      </w:pPr>
      <w:bookmarkStart w:id="18" w:name="_Toc494625526"/>
      <w:bookmarkStart w:id="19" w:name="_Toc8869"/>
      <w:r w:rsidRPr="001D3481">
        <w:rPr>
          <w:b/>
          <w:color w:val="auto"/>
          <w:highlight w:val="lightGray"/>
        </w:rPr>
        <w:t>Zasady dotyczące monitorowania i kontroli grantów</w:t>
      </w:r>
      <w:bookmarkEnd w:id="18"/>
      <w:r w:rsidRPr="001D3481">
        <w:rPr>
          <w:b/>
          <w:color w:val="auto"/>
          <w:highlight w:val="lightGray"/>
        </w:rPr>
        <w:t xml:space="preserve"> </w:t>
      </w:r>
      <w:bookmarkEnd w:id="19"/>
    </w:p>
    <w:p w:rsidR="001238F4" w:rsidRPr="001D3481" w:rsidRDefault="001238F4" w:rsidP="00B815F1">
      <w:pPr>
        <w:pStyle w:val="Akapitzlist"/>
        <w:ind w:left="1065" w:right="42" w:firstLine="0"/>
        <w:rPr>
          <w:color w:val="auto"/>
        </w:rPr>
      </w:pPr>
    </w:p>
    <w:p w:rsidR="00B815F1" w:rsidRPr="001D3481" w:rsidRDefault="00C44827" w:rsidP="00B815F1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Operator będzie prowadził systematyczny monitoring przyznanych grantów. </w:t>
      </w:r>
    </w:p>
    <w:p w:rsidR="00C44827" w:rsidRPr="001D3481" w:rsidRDefault="00C44827" w:rsidP="00B815F1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Narzędziem monitoringu </w:t>
      </w:r>
      <w:r w:rsidR="005E7F60" w:rsidRPr="001D3481">
        <w:rPr>
          <w:color w:val="auto"/>
        </w:rPr>
        <w:t xml:space="preserve">ze strony </w:t>
      </w:r>
      <w:r w:rsidR="00A040CC" w:rsidRPr="001D3481">
        <w:rPr>
          <w:color w:val="auto"/>
        </w:rPr>
        <w:t xml:space="preserve">operatora </w:t>
      </w:r>
      <w:r w:rsidRPr="001D3481">
        <w:rPr>
          <w:color w:val="auto"/>
        </w:rPr>
        <w:t>będzie:</w:t>
      </w:r>
    </w:p>
    <w:p w:rsidR="00227E87" w:rsidRPr="001D3481" w:rsidRDefault="00C44827" w:rsidP="00903DD8">
      <w:pPr>
        <w:pStyle w:val="Akapitzlist"/>
        <w:numPr>
          <w:ilvl w:val="0"/>
          <w:numId w:val="37"/>
        </w:numPr>
        <w:ind w:left="1276" w:right="42" w:hanging="567"/>
        <w:rPr>
          <w:color w:val="auto"/>
        </w:rPr>
      </w:pPr>
      <w:r w:rsidRPr="001D3481">
        <w:rPr>
          <w:color w:val="auto"/>
        </w:rPr>
        <w:t xml:space="preserve">Ankieta - zawierająca kilka pytań odnoszących się do przebiegu realizacji prac w ramach powierzonego grantu. Celem  ankiety jest weryfikacja zgodności działań z harmonogramem i z budżetem, jak  również  ustalenie ewentualnych problemów  bądź  opóźnień.  Ankieta  jest przesyłana </w:t>
      </w:r>
      <w:proofErr w:type="spellStart"/>
      <w:r w:rsidR="00A040CC" w:rsidRPr="001D3481">
        <w:rPr>
          <w:color w:val="auto"/>
        </w:rPr>
        <w:t>grantobiorcy</w:t>
      </w:r>
      <w:proofErr w:type="spellEnd"/>
      <w:r w:rsidR="00A040CC" w:rsidRPr="001D3481">
        <w:rPr>
          <w:color w:val="auto"/>
        </w:rPr>
        <w:t xml:space="preserve"> </w:t>
      </w:r>
      <w:r w:rsidR="00903DD8" w:rsidRPr="001D3481">
        <w:rPr>
          <w:color w:val="auto"/>
        </w:rPr>
        <w:t>za pośrednictwem platformy</w:t>
      </w:r>
      <w:r w:rsidRPr="001D3481">
        <w:rPr>
          <w:color w:val="auto"/>
        </w:rPr>
        <w:t xml:space="preserve">, raz w miesiącu. Konstrukcja ankiety pozwoli na jej szybkie wypełnienie, a następnie dostarczenie do </w:t>
      </w:r>
      <w:r w:rsidR="00A040CC" w:rsidRPr="001D3481">
        <w:rPr>
          <w:color w:val="auto"/>
        </w:rPr>
        <w:t xml:space="preserve">operatora </w:t>
      </w:r>
      <w:r w:rsidRPr="001D3481">
        <w:rPr>
          <w:color w:val="auto"/>
        </w:rPr>
        <w:t>również w formie elektro</w:t>
      </w:r>
      <w:r w:rsidR="005E7F60" w:rsidRPr="001D3481">
        <w:rPr>
          <w:color w:val="auto"/>
        </w:rPr>
        <w:t>nicznej</w:t>
      </w:r>
      <w:r w:rsidRPr="001D3481">
        <w:rPr>
          <w:color w:val="auto"/>
        </w:rPr>
        <w:t>.</w:t>
      </w:r>
    </w:p>
    <w:p w:rsidR="00C44827" w:rsidRPr="001D3481" w:rsidRDefault="00C44827" w:rsidP="00C44827">
      <w:pPr>
        <w:pStyle w:val="Akapitzlist"/>
        <w:numPr>
          <w:ilvl w:val="0"/>
          <w:numId w:val="37"/>
        </w:numPr>
        <w:ind w:left="1276" w:right="42" w:hanging="567"/>
        <w:rPr>
          <w:color w:val="auto"/>
        </w:rPr>
      </w:pPr>
      <w:r w:rsidRPr="001D3481">
        <w:rPr>
          <w:color w:val="auto"/>
        </w:rPr>
        <w:t>Sprawozdani</w:t>
      </w:r>
      <w:r w:rsidR="00903DD8" w:rsidRPr="001D3481">
        <w:rPr>
          <w:color w:val="auto"/>
        </w:rPr>
        <w:t>a</w:t>
      </w:r>
      <w:r w:rsidRPr="001D3481">
        <w:rPr>
          <w:color w:val="auto"/>
        </w:rPr>
        <w:t xml:space="preserve"> sporządzane przez </w:t>
      </w:r>
      <w:proofErr w:type="spellStart"/>
      <w:r w:rsidR="00A040CC" w:rsidRPr="001D3481">
        <w:rPr>
          <w:color w:val="auto"/>
        </w:rPr>
        <w:t>grantobiorcę</w:t>
      </w:r>
      <w:proofErr w:type="spellEnd"/>
      <w:r w:rsidRPr="001D3481">
        <w:rPr>
          <w:color w:val="auto"/>
        </w:rPr>
        <w:t>, o który</w:t>
      </w:r>
      <w:r w:rsidR="00903DD8" w:rsidRPr="001D3481">
        <w:rPr>
          <w:color w:val="auto"/>
        </w:rPr>
        <w:t>ch</w:t>
      </w:r>
      <w:r w:rsidRPr="001D3481">
        <w:rPr>
          <w:color w:val="auto"/>
        </w:rPr>
        <w:t xml:space="preserve"> mowa w pkt. 7.1. </w:t>
      </w:r>
    </w:p>
    <w:p w:rsidR="005E7F60" w:rsidRPr="001D3481" w:rsidRDefault="005E7F60" w:rsidP="00903DD8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proofErr w:type="spellStart"/>
      <w:r w:rsidRPr="001D3481">
        <w:rPr>
          <w:color w:val="auto"/>
        </w:rPr>
        <w:t>Grantobiorca</w:t>
      </w:r>
      <w:proofErr w:type="spellEnd"/>
      <w:r w:rsidRPr="001D3481">
        <w:rPr>
          <w:color w:val="auto"/>
        </w:rPr>
        <w:t xml:space="preserve"> zobowiązany jest do poddania uczestników szkoleń testowi wstępnemu i ankiecie ewaluacyjnej na platformie dostarczonej przez Ministerstwo Cyfryzacji.</w:t>
      </w:r>
    </w:p>
    <w:p w:rsidR="002537B8" w:rsidRPr="001D3481" w:rsidRDefault="002537B8" w:rsidP="00903DD8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Zgodnie z zapisami umowy o udzielenie grantu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="005E7F60" w:rsidRPr="001D3481">
        <w:rPr>
          <w:color w:val="auto"/>
        </w:rPr>
        <w:t xml:space="preserve">zobowiązany będzie do poddania się czynnościom kontrolnym wykonywanym na potrzeby projektu przez </w:t>
      </w:r>
      <w:r w:rsidR="00A040CC" w:rsidRPr="001D3481">
        <w:rPr>
          <w:color w:val="auto"/>
        </w:rPr>
        <w:t xml:space="preserve">operatora </w:t>
      </w:r>
      <w:r w:rsidR="005E7F60" w:rsidRPr="001D3481">
        <w:rPr>
          <w:color w:val="auto"/>
        </w:rPr>
        <w:t>oraz inne instytucje do tego uprawnione.</w:t>
      </w:r>
    </w:p>
    <w:p w:rsidR="003C596B" w:rsidRPr="001D3481" w:rsidRDefault="003C596B" w:rsidP="00903DD8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proofErr w:type="spellStart"/>
      <w:r w:rsidRPr="001D3481">
        <w:rPr>
          <w:color w:val="auto"/>
        </w:rPr>
        <w:t>Grantobiorcy</w:t>
      </w:r>
      <w:proofErr w:type="spellEnd"/>
      <w:r w:rsidRPr="001D3481">
        <w:rPr>
          <w:color w:val="auto"/>
        </w:rPr>
        <w:t xml:space="preserve"> są zobowiązani do współpracy w trakcie prowadzonych kontroli</w:t>
      </w:r>
      <w:r w:rsidR="00B67EC3" w:rsidRPr="001D3481">
        <w:rPr>
          <w:color w:val="auto"/>
        </w:rPr>
        <w:t xml:space="preserve"> oraz</w:t>
      </w:r>
      <w:r w:rsidRPr="001D3481">
        <w:rPr>
          <w:color w:val="auto"/>
        </w:rPr>
        <w:t xml:space="preserve"> ewaluacji</w:t>
      </w:r>
      <w:r w:rsidR="00B67EC3" w:rsidRPr="001D3481">
        <w:rPr>
          <w:color w:val="auto"/>
        </w:rPr>
        <w:t xml:space="preserve"> projektu.</w:t>
      </w:r>
    </w:p>
    <w:p w:rsidR="00903DD8" w:rsidRPr="001D3481" w:rsidRDefault="00685F94" w:rsidP="00903DD8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Operator </w:t>
      </w:r>
      <w:r w:rsidR="00090236" w:rsidRPr="001D3481">
        <w:rPr>
          <w:color w:val="auto"/>
        </w:rPr>
        <w:t xml:space="preserve">dokona wyboru próby wśród </w:t>
      </w:r>
      <w:proofErr w:type="spellStart"/>
      <w:r w:rsidR="00A040CC" w:rsidRPr="001D3481">
        <w:rPr>
          <w:color w:val="auto"/>
        </w:rPr>
        <w:t>grantobiorców</w:t>
      </w:r>
      <w:proofErr w:type="spellEnd"/>
      <w:r w:rsidR="00090236" w:rsidRPr="001D3481">
        <w:rPr>
          <w:color w:val="auto"/>
        </w:rPr>
        <w:t>, na której przeprowadzi kontrolę planowaną oraz kontrolę doraźną</w:t>
      </w:r>
      <w:r w:rsidR="005E7F60" w:rsidRPr="001D3481">
        <w:rPr>
          <w:color w:val="auto"/>
        </w:rPr>
        <w:t xml:space="preserve"> w formie wizyt monitoringowych</w:t>
      </w:r>
      <w:r w:rsidR="00090236" w:rsidRPr="001D3481">
        <w:rPr>
          <w:color w:val="auto"/>
        </w:rPr>
        <w:t>. Kontrola obejmie co najmniej 20% podmiotów, którym udzielone zostaną dotacje i odbywać się będzie według ustalonego planu kontroli.</w:t>
      </w:r>
    </w:p>
    <w:p w:rsidR="00090236" w:rsidRPr="001D3481" w:rsidRDefault="00090236" w:rsidP="00903DD8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Kontrola planowana obejmie weryfikację jakości realizowanych szkoleń, kontrolę postępu rzeczowo-finansowego, </w:t>
      </w:r>
      <w:r w:rsidR="005E7F60" w:rsidRPr="001D3481">
        <w:rPr>
          <w:color w:val="auto"/>
        </w:rPr>
        <w:t>poprawność ponoszonych wydatków przez</w:t>
      </w:r>
      <w:r w:rsidRPr="001D3481">
        <w:rPr>
          <w:color w:val="auto"/>
        </w:rPr>
        <w:t xml:space="preserve"> </w:t>
      </w:r>
      <w:proofErr w:type="spellStart"/>
      <w:r w:rsidR="00A040CC" w:rsidRPr="001D3481">
        <w:rPr>
          <w:color w:val="auto"/>
        </w:rPr>
        <w:t>grantobiorców</w:t>
      </w:r>
      <w:proofErr w:type="spellEnd"/>
      <w:r w:rsidR="0085730F" w:rsidRPr="001D3481">
        <w:rPr>
          <w:color w:val="auto"/>
        </w:rPr>
        <w:t>,</w:t>
      </w:r>
      <w:r w:rsidRPr="001D3481">
        <w:rPr>
          <w:color w:val="auto"/>
        </w:rPr>
        <w:t xml:space="preserve"> w szczególności </w:t>
      </w:r>
      <w:r w:rsidR="003C596B" w:rsidRPr="001D3481">
        <w:rPr>
          <w:color w:val="auto"/>
        </w:rPr>
        <w:t xml:space="preserve">wydatków </w:t>
      </w:r>
      <w:r w:rsidRPr="001D3481">
        <w:rPr>
          <w:color w:val="auto"/>
        </w:rPr>
        <w:t>na zakup sprzętu.</w:t>
      </w:r>
      <w:r w:rsidR="00B67EC3" w:rsidRPr="001D3481">
        <w:rPr>
          <w:color w:val="auto"/>
        </w:rPr>
        <w:t xml:space="preserve"> Kontroli poddane zostaną m.in. dokumenty księgowe wraz z zawartymi umowami</w:t>
      </w:r>
      <w:r w:rsidR="00FC4E4A">
        <w:rPr>
          <w:color w:val="auto"/>
        </w:rPr>
        <w:t>,</w:t>
      </w:r>
      <w:r w:rsidR="00B67EC3" w:rsidRPr="001D3481">
        <w:rPr>
          <w:color w:val="auto"/>
        </w:rPr>
        <w:t xml:space="preserve"> potwierdzeniem zapłaty</w:t>
      </w:r>
      <w:r w:rsidR="00FC4E4A">
        <w:rPr>
          <w:color w:val="auto"/>
        </w:rPr>
        <w:t xml:space="preserve"> </w:t>
      </w:r>
      <w:r w:rsidR="00FC4E4A">
        <w:t>i dokumentami dot. wyłonienie wykonawców / dostawców i usług</w:t>
      </w:r>
      <w:r w:rsidR="001A0A9A" w:rsidRPr="001D3481">
        <w:rPr>
          <w:color w:val="auto"/>
        </w:rPr>
        <w:t>.</w:t>
      </w:r>
    </w:p>
    <w:p w:rsidR="00090236" w:rsidRPr="001D3481" w:rsidRDefault="005E7F60" w:rsidP="00903DD8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Wizyty monitoringowe będą miały na celu </w:t>
      </w:r>
      <w:r w:rsidR="003C596B" w:rsidRPr="001D3481">
        <w:rPr>
          <w:color w:val="auto"/>
        </w:rPr>
        <w:t>potwierdzenie jakości realizowanych usług szkoleniowych, frekwencji na zajęciach, realizacji zaplanowanego materiału szkoleniowego</w:t>
      </w:r>
      <w:r w:rsidR="0085730F" w:rsidRPr="001D3481">
        <w:rPr>
          <w:color w:val="auto"/>
        </w:rPr>
        <w:t xml:space="preserve">, zgodności prowadzenia zajęć w oparciu o dostarczone przez </w:t>
      </w:r>
      <w:r w:rsidR="00A040CC" w:rsidRPr="001D3481">
        <w:rPr>
          <w:color w:val="auto"/>
        </w:rPr>
        <w:t xml:space="preserve">operatora </w:t>
      </w:r>
      <w:r w:rsidR="0085730F" w:rsidRPr="001D3481">
        <w:rPr>
          <w:color w:val="auto"/>
        </w:rPr>
        <w:t>scenariusze</w:t>
      </w:r>
      <w:r w:rsidR="003C596B" w:rsidRPr="001D3481">
        <w:rPr>
          <w:color w:val="auto"/>
        </w:rPr>
        <w:t>.</w:t>
      </w:r>
      <w:r w:rsidR="00B67EC3" w:rsidRPr="001D3481">
        <w:rPr>
          <w:color w:val="auto"/>
        </w:rPr>
        <w:t xml:space="preserve"> Kontroli poddane zostaną m.in. listy obecności, </w:t>
      </w:r>
      <w:r w:rsidR="00B1049C" w:rsidRPr="001D3481">
        <w:rPr>
          <w:color w:val="auto"/>
        </w:rPr>
        <w:t xml:space="preserve">warunki prowadzenia zajęć, </w:t>
      </w:r>
      <w:r w:rsidR="00B67EC3" w:rsidRPr="001D3481">
        <w:rPr>
          <w:color w:val="auto"/>
        </w:rPr>
        <w:t xml:space="preserve">oznaczenie </w:t>
      </w:r>
      <w:proofErr w:type="spellStart"/>
      <w:r w:rsidR="00B67EC3" w:rsidRPr="001D3481">
        <w:rPr>
          <w:color w:val="auto"/>
        </w:rPr>
        <w:t>sal</w:t>
      </w:r>
      <w:proofErr w:type="spellEnd"/>
      <w:r w:rsidR="001A0A9A" w:rsidRPr="001D3481">
        <w:rPr>
          <w:color w:val="auto"/>
        </w:rPr>
        <w:t xml:space="preserve"> szkoleniowych</w:t>
      </w:r>
      <w:r w:rsidR="00B1049C" w:rsidRPr="001D3481">
        <w:rPr>
          <w:color w:val="auto"/>
        </w:rPr>
        <w:t>.</w:t>
      </w:r>
    </w:p>
    <w:p w:rsidR="00090236" w:rsidRPr="001D3481" w:rsidRDefault="00090236" w:rsidP="00903DD8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r w:rsidRPr="001D3481">
        <w:rPr>
          <w:color w:val="auto"/>
        </w:rPr>
        <w:t>Kontrola może zostać przeprowadzona w okresie realizacji mikroprojekt</w:t>
      </w:r>
      <w:r w:rsidR="002537B8" w:rsidRPr="001D3481">
        <w:rPr>
          <w:color w:val="auto"/>
        </w:rPr>
        <w:t>ów</w:t>
      </w:r>
      <w:r w:rsidRPr="001D3481">
        <w:rPr>
          <w:color w:val="auto"/>
        </w:rPr>
        <w:t>.</w:t>
      </w:r>
    </w:p>
    <w:p w:rsidR="00090236" w:rsidRPr="001D3481" w:rsidRDefault="00090236" w:rsidP="00903DD8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Po kontroli sporządzony zostanie protokół, który będzie przekazywany do wiadomości </w:t>
      </w:r>
      <w:proofErr w:type="spellStart"/>
      <w:r w:rsidR="00A040CC" w:rsidRPr="001D3481">
        <w:rPr>
          <w:color w:val="auto"/>
        </w:rPr>
        <w:t>grantobiorcy</w:t>
      </w:r>
      <w:proofErr w:type="spellEnd"/>
      <w:r w:rsidR="00A040CC" w:rsidRPr="001D3481">
        <w:rPr>
          <w:color w:val="auto"/>
        </w:rPr>
        <w:t xml:space="preserve"> </w:t>
      </w:r>
      <w:r w:rsidR="002537B8" w:rsidRPr="001D3481">
        <w:rPr>
          <w:color w:val="auto"/>
        </w:rPr>
        <w:t>w terminie 1</w:t>
      </w:r>
      <w:r w:rsidR="00FC4E4A">
        <w:rPr>
          <w:color w:val="auto"/>
        </w:rPr>
        <w:t>0</w:t>
      </w:r>
      <w:r w:rsidR="002537B8" w:rsidRPr="001D3481">
        <w:rPr>
          <w:color w:val="auto"/>
        </w:rPr>
        <w:t xml:space="preserve"> dni</w:t>
      </w:r>
      <w:r w:rsidR="00FC4E4A">
        <w:rPr>
          <w:color w:val="auto"/>
        </w:rPr>
        <w:t xml:space="preserve"> roboczych</w:t>
      </w:r>
      <w:r w:rsidRPr="001D3481">
        <w:rPr>
          <w:color w:val="auto"/>
        </w:rPr>
        <w:t>.</w:t>
      </w:r>
    </w:p>
    <w:p w:rsidR="00090236" w:rsidRPr="001D3481" w:rsidRDefault="002537B8" w:rsidP="00903DD8">
      <w:pPr>
        <w:pStyle w:val="Akapitzlist"/>
        <w:numPr>
          <w:ilvl w:val="0"/>
          <w:numId w:val="35"/>
        </w:numPr>
        <w:ind w:left="709" w:right="42" w:hanging="425"/>
        <w:rPr>
          <w:color w:val="auto"/>
        </w:rPr>
      </w:pPr>
      <w:r w:rsidRPr="001D3481">
        <w:rPr>
          <w:color w:val="auto"/>
        </w:rPr>
        <w:t xml:space="preserve">W przypadku stwierdzenia uchybień w realizacji projektu lub nieprawidłowości </w:t>
      </w:r>
      <w:r w:rsidR="00A040CC" w:rsidRPr="001D3481">
        <w:rPr>
          <w:color w:val="auto"/>
        </w:rPr>
        <w:t xml:space="preserve">operator </w:t>
      </w:r>
      <w:r w:rsidRPr="001D3481">
        <w:rPr>
          <w:color w:val="auto"/>
        </w:rPr>
        <w:t xml:space="preserve">może nakazać </w:t>
      </w:r>
      <w:proofErr w:type="spellStart"/>
      <w:r w:rsidR="00A040CC" w:rsidRPr="001D3481">
        <w:rPr>
          <w:color w:val="auto"/>
        </w:rPr>
        <w:t>grantobiorcy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>podjęcie działań naprawczych bądź wezwać do zwrotu części dotacji, której wydatkowanie zostało zakwestionowane.</w:t>
      </w:r>
    </w:p>
    <w:p w:rsidR="000067CE" w:rsidRDefault="000067CE">
      <w:pPr>
        <w:spacing w:after="60" w:line="259" w:lineRule="auto"/>
        <w:ind w:left="360" w:right="0" w:firstLine="0"/>
        <w:jc w:val="left"/>
        <w:rPr>
          <w:color w:val="auto"/>
        </w:rPr>
      </w:pPr>
    </w:p>
    <w:p w:rsidR="00C53BA5" w:rsidRDefault="00C53BA5">
      <w:pPr>
        <w:spacing w:after="60" w:line="259" w:lineRule="auto"/>
        <w:ind w:left="360" w:right="0" w:firstLine="0"/>
        <w:jc w:val="left"/>
        <w:rPr>
          <w:color w:val="auto"/>
        </w:rPr>
      </w:pPr>
    </w:p>
    <w:p w:rsidR="00C53BA5" w:rsidRPr="001D3481" w:rsidRDefault="00C53BA5">
      <w:pPr>
        <w:spacing w:after="60" w:line="259" w:lineRule="auto"/>
        <w:ind w:left="360" w:right="0" w:firstLine="0"/>
        <w:jc w:val="left"/>
        <w:rPr>
          <w:color w:val="auto"/>
        </w:rPr>
      </w:pPr>
    </w:p>
    <w:p w:rsidR="000067CE" w:rsidRPr="001D3481" w:rsidRDefault="00B15854" w:rsidP="00BA19FE">
      <w:pPr>
        <w:pStyle w:val="Nagwek2"/>
        <w:numPr>
          <w:ilvl w:val="0"/>
          <w:numId w:val="36"/>
        </w:numPr>
        <w:ind w:hanging="705"/>
        <w:rPr>
          <w:b/>
          <w:color w:val="auto"/>
          <w:highlight w:val="lightGray"/>
        </w:rPr>
      </w:pPr>
      <w:bookmarkStart w:id="20" w:name="_Toc494625527"/>
      <w:bookmarkStart w:id="21" w:name="_Toc8870"/>
      <w:r w:rsidRPr="001D3481">
        <w:rPr>
          <w:b/>
          <w:color w:val="auto"/>
          <w:highlight w:val="lightGray"/>
        </w:rPr>
        <w:t>Zasady dotyczące odzyskiwania grantów w przypadku ich wykorzystania niezgodnie z celami projektu grantowego lub niewykorzystania</w:t>
      </w:r>
      <w:bookmarkEnd w:id="20"/>
      <w:r w:rsidRPr="001D3481">
        <w:rPr>
          <w:b/>
          <w:color w:val="auto"/>
          <w:highlight w:val="lightGray"/>
        </w:rPr>
        <w:t xml:space="preserve"> </w:t>
      </w:r>
      <w:bookmarkEnd w:id="21"/>
    </w:p>
    <w:p w:rsidR="00567A84" w:rsidRPr="001D3481" w:rsidRDefault="00567A84" w:rsidP="00567A84">
      <w:pPr>
        <w:ind w:left="705" w:right="42" w:firstLine="0"/>
        <w:rPr>
          <w:color w:val="auto"/>
        </w:rPr>
      </w:pPr>
    </w:p>
    <w:p w:rsidR="009C7A0E" w:rsidRPr="001D3481" w:rsidRDefault="00567A84" w:rsidP="00567A84">
      <w:pPr>
        <w:pStyle w:val="Akapitzlist"/>
        <w:numPr>
          <w:ilvl w:val="0"/>
          <w:numId w:val="38"/>
        </w:numPr>
        <w:ind w:left="709" w:right="42" w:hanging="425"/>
        <w:rPr>
          <w:color w:val="auto"/>
        </w:rPr>
      </w:pPr>
      <w:r w:rsidRPr="001D3481">
        <w:rPr>
          <w:color w:val="auto"/>
        </w:rPr>
        <w:t>W przypadku wykorzystania grantu niezgodnie z przeznaczeniem</w:t>
      </w:r>
      <w:r w:rsidR="00CE3AEF" w:rsidRPr="001D3481">
        <w:rPr>
          <w:color w:val="auto"/>
        </w:rPr>
        <w:t>, ni</w:t>
      </w:r>
      <w:r w:rsidR="009C7A0E" w:rsidRPr="001D3481">
        <w:rPr>
          <w:color w:val="auto"/>
        </w:rPr>
        <w:t xml:space="preserve">ezrealizowania w całości zakładanych wskaźników lub realizowania szkoleń poniżej wymaganych standardów jakościowych </w:t>
      </w:r>
      <w:r w:rsidR="00A040CC" w:rsidRPr="001D3481">
        <w:rPr>
          <w:color w:val="auto"/>
        </w:rPr>
        <w:t xml:space="preserve">operator </w:t>
      </w:r>
      <w:r w:rsidR="009C7A0E" w:rsidRPr="001D3481">
        <w:rPr>
          <w:color w:val="auto"/>
        </w:rPr>
        <w:t xml:space="preserve">zwróci się do </w:t>
      </w:r>
      <w:proofErr w:type="spellStart"/>
      <w:r w:rsidR="00A040CC" w:rsidRPr="001D3481">
        <w:rPr>
          <w:color w:val="auto"/>
        </w:rPr>
        <w:t>grantobiorcy</w:t>
      </w:r>
      <w:proofErr w:type="spellEnd"/>
      <w:r w:rsidR="00A040CC" w:rsidRPr="001D3481">
        <w:rPr>
          <w:color w:val="auto"/>
        </w:rPr>
        <w:t xml:space="preserve"> </w:t>
      </w:r>
      <w:r w:rsidR="009C7A0E" w:rsidRPr="001D3481">
        <w:rPr>
          <w:color w:val="auto"/>
        </w:rPr>
        <w:t>pisemnie o zwrot  nienależnie pobranego dofinansowania.</w:t>
      </w:r>
      <w:r w:rsidRPr="001D3481">
        <w:rPr>
          <w:color w:val="auto"/>
        </w:rPr>
        <w:t xml:space="preserve"> </w:t>
      </w:r>
    </w:p>
    <w:p w:rsidR="009C7A0E" w:rsidRPr="00FB7B07" w:rsidRDefault="009C7A0E" w:rsidP="00567A84">
      <w:pPr>
        <w:pStyle w:val="Akapitzlist"/>
        <w:numPr>
          <w:ilvl w:val="0"/>
          <w:numId w:val="38"/>
        </w:numPr>
        <w:ind w:left="709" w:right="42" w:hanging="425"/>
        <w:rPr>
          <w:color w:val="auto"/>
        </w:rPr>
      </w:pPr>
      <w:r w:rsidRPr="001D3481">
        <w:rPr>
          <w:color w:val="auto"/>
        </w:rPr>
        <w:t>Termin na dokonanie zwrotu wynosi 1</w:t>
      </w:r>
      <w:r w:rsidR="00FC4E4A">
        <w:rPr>
          <w:color w:val="auto"/>
        </w:rPr>
        <w:t>0</w:t>
      </w:r>
      <w:r w:rsidRPr="001D3481">
        <w:rPr>
          <w:color w:val="auto"/>
        </w:rPr>
        <w:t xml:space="preserve"> dni</w:t>
      </w:r>
      <w:r w:rsidR="00FC4E4A">
        <w:rPr>
          <w:color w:val="auto"/>
        </w:rPr>
        <w:t xml:space="preserve"> roboczych</w:t>
      </w:r>
      <w:r w:rsidRPr="001D3481">
        <w:rPr>
          <w:color w:val="auto"/>
        </w:rPr>
        <w:t xml:space="preserve"> od dnia otrzymania informacji </w:t>
      </w:r>
      <w:r w:rsidRPr="00FB7B07">
        <w:rPr>
          <w:color w:val="auto"/>
        </w:rPr>
        <w:t xml:space="preserve">przez </w:t>
      </w:r>
      <w:proofErr w:type="spellStart"/>
      <w:r w:rsidR="00A040CC" w:rsidRPr="00FB7B07">
        <w:rPr>
          <w:color w:val="auto"/>
        </w:rPr>
        <w:t>grantobiorcę</w:t>
      </w:r>
      <w:proofErr w:type="spellEnd"/>
      <w:r w:rsidRPr="00FB7B07">
        <w:rPr>
          <w:color w:val="auto"/>
        </w:rPr>
        <w:t>.</w:t>
      </w:r>
    </w:p>
    <w:p w:rsidR="00567A84" w:rsidRPr="00FB7B07" w:rsidRDefault="009C7A0E" w:rsidP="009C7A0E">
      <w:pPr>
        <w:pStyle w:val="Akapitzlist"/>
        <w:numPr>
          <w:ilvl w:val="0"/>
          <w:numId w:val="38"/>
        </w:numPr>
        <w:ind w:left="709" w:right="42" w:hanging="425"/>
        <w:rPr>
          <w:color w:val="auto"/>
        </w:rPr>
      </w:pPr>
      <w:r w:rsidRPr="00FB7B07">
        <w:rPr>
          <w:color w:val="auto"/>
        </w:rPr>
        <w:t xml:space="preserve">W przypadku braku dobrowolnego dokonania zwrotu środków przez </w:t>
      </w:r>
      <w:proofErr w:type="spellStart"/>
      <w:r w:rsidR="00A040CC" w:rsidRPr="00FB7B07">
        <w:rPr>
          <w:color w:val="auto"/>
        </w:rPr>
        <w:t>grantobiorcę</w:t>
      </w:r>
      <w:proofErr w:type="spellEnd"/>
      <w:r w:rsidR="00A040CC" w:rsidRPr="00FB7B07">
        <w:rPr>
          <w:color w:val="auto"/>
        </w:rPr>
        <w:t xml:space="preserve"> </w:t>
      </w:r>
      <w:r w:rsidRPr="00FB7B07">
        <w:rPr>
          <w:color w:val="auto"/>
        </w:rPr>
        <w:t xml:space="preserve">w wyznaczonym przez </w:t>
      </w:r>
      <w:r w:rsidR="00A040CC" w:rsidRPr="00FB7B07">
        <w:rPr>
          <w:color w:val="auto"/>
        </w:rPr>
        <w:t xml:space="preserve">operatora </w:t>
      </w:r>
      <w:r w:rsidRPr="00FB7B07">
        <w:rPr>
          <w:color w:val="auto"/>
        </w:rPr>
        <w:t xml:space="preserve">terminie, </w:t>
      </w:r>
      <w:r w:rsidR="00A040CC" w:rsidRPr="00FB7B07">
        <w:rPr>
          <w:color w:val="auto"/>
        </w:rPr>
        <w:t xml:space="preserve">operator </w:t>
      </w:r>
      <w:r w:rsidRPr="00FB7B07">
        <w:rPr>
          <w:color w:val="auto"/>
        </w:rPr>
        <w:t xml:space="preserve">uruchamia procedurę postępowania zabezpieczającego, kierując do </w:t>
      </w:r>
      <w:proofErr w:type="spellStart"/>
      <w:r w:rsidR="00A040CC" w:rsidRPr="00FB7B07">
        <w:rPr>
          <w:color w:val="auto"/>
        </w:rPr>
        <w:t>grantobiorcy</w:t>
      </w:r>
      <w:proofErr w:type="spellEnd"/>
      <w:r w:rsidR="00A040CC" w:rsidRPr="00FB7B07">
        <w:rPr>
          <w:color w:val="auto"/>
        </w:rPr>
        <w:t xml:space="preserve"> </w:t>
      </w:r>
      <w:r w:rsidRPr="00FB7B07">
        <w:rPr>
          <w:color w:val="auto"/>
        </w:rPr>
        <w:t>nakaz zapłaty wydany w postępowaniu nakazowym (art. 485 § 2 k.p.c.).</w:t>
      </w:r>
    </w:p>
    <w:p w:rsidR="000067CE" w:rsidRPr="001D3481" w:rsidRDefault="000067CE">
      <w:pPr>
        <w:spacing w:after="22" w:line="259" w:lineRule="auto"/>
        <w:ind w:left="0" w:right="0" w:firstLine="0"/>
        <w:jc w:val="left"/>
        <w:rPr>
          <w:color w:val="auto"/>
        </w:rPr>
      </w:pPr>
    </w:p>
    <w:p w:rsidR="000067CE" w:rsidRPr="001D3481" w:rsidRDefault="00B15854">
      <w:pPr>
        <w:spacing w:after="20" w:line="259" w:lineRule="auto"/>
        <w:ind w:left="0" w:right="0" w:firstLine="0"/>
        <w:jc w:val="left"/>
        <w:rPr>
          <w:color w:val="auto"/>
        </w:rPr>
      </w:pPr>
      <w:r w:rsidRPr="001D3481">
        <w:rPr>
          <w:color w:val="auto"/>
        </w:rPr>
        <w:t xml:space="preserve"> </w:t>
      </w:r>
    </w:p>
    <w:p w:rsidR="00C40765" w:rsidRPr="001D3481" w:rsidRDefault="00B15854" w:rsidP="00C40765">
      <w:pPr>
        <w:pStyle w:val="Nagwek2"/>
        <w:numPr>
          <w:ilvl w:val="0"/>
          <w:numId w:val="36"/>
        </w:numPr>
        <w:ind w:hanging="705"/>
        <w:rPr>
          <w:b/>
          <w:color w:val="auto"/>
          <w:highlight w:val="lightGray"/>
        </w:rPr>
      </w:pPr>
      <w:r w:rsidRPr="001D3481">
        <w:rPr>
          <w:color w:val="auto"/>
        </w:rPr>
        <w:t xml:space="preserve"> </w:t>
      </w:r>
      <w:bookmarkStart w:id="22" w:name="_Toc494625528"/>
      <w:r w:rsidR="00C40765" w:rsidRPr="001D3481">
        <w:rPr>
          <w:b/>
          <w:color w:val="auto"/>
          <w:highlight w:val="lightGray"/>
        </w:rPr>
        <w:t>Promocja projektu i działania informacyjne</w:t>
      </w:r>
      <w:bookmarkEnd w:id="22"/>
    </w:p>
    <w:p w:rsidR="00C40765" w:rsidRPr="001D3481" w:rsidRDefault="00C40765" w:rsidP="00C40765">
      <w:pPr>
        <w:pStyle w:val="Nagwek2"/>
        <w:ind w:left="705" w:firstLine="0"/>
        <w:rPr>
          <w:b/>
          <w:color w:val="auto"/>
          <w:highlight w:val="lightGray"/>
        </w:rPr>
      </w:pPr>
      <w:r w:rsidRPr="001D3481">
        <w:rPr>
          <w:b/>
          <w:color w:val="auto"/>
          <w:highlight w:val="lightGray"/>
        </w:rPr>
        <w:t xml:space="preserve"> </w:t>
      </w:r>
    </w:p>
    <w:p w:rsidR="000067CE" w:rsidRPr="001D3481" w:rsidRDefault="00C40765" w:rsidP="00C40765">
      <w:pPr>
        <w:pStyle w:val="Akapitzlist"/>
        <w:numPr>
          <w:ilvl w:val="0"/>
          <w:numId w:val="39"/>
        </w:numPr>
        <w:spacing w:after="22" w:line="259" w:lineRule="auto"/>
        <w:ind w:right="0"/>
        <w:jc w:val="left"/>
        <w:rPr>
          <w:color w:val="auto"/>
        </w:rPr>
      </w:pPr>
      <w:proofErr w:type="spellStart"/>
      <w:r w:rsidRPr="001D3481">
        <w:rPr>
          <w:color w:val="auto"/>
        </w:rPr>
        <w:t>Grantobiorca</w:t>
      </w:r>
      <w:proofErr w:type="spellEnd"/>
      <w:r w:rsidRPr="001D3481">
        <w:rPr>
          <w:color w:val="auto"/>
        </w:rPr>
        <w:t xml:space="preserve"> zobowiązany jest do zapewnienia działań informacyjnych o współfinansowaniu mikroprojektu ze środków Unii Europejskiej w ramach projektu realizowanego przez </w:t>
      </w:r>
      <w:r w:rsidR="00A040CC" w:rsidRPr="001D3481">
        <w:rPr>
          <w:color w:val="auto"/>
        </w:rPr>
        <w:t>operatora</w:t>
      </w:r>
      <w:r w:rsidRPr="001D3481">
        <w:rPr>
          <w:color w:val="auto"/>
        </w:rPr>
        <w:t>.</w:t>
      </w:r>
    </w:p>
    <w:p w:rsidR="00C40765" w:rsidRPr="001D3481" w:rsidRDefault="00C40765" w:rsidP="00C40765">
      <w:pPr>
        <w:pStyle w:val="Akapitzlist"/>
        <w:numPr>
          <w:ilvl w:val="0"/>
          <w:numId w:val="39"/>
        </w:numPr>
        <w:spacing w:after="22" w:line="259" w:lineRule="auto"/>
        <w:ind w:right="0"/>
        <w:jc w:val="left"/>
        <w:rPr>
          <w:color w:val="auto"/>
        </w:rPr>
      </w:pPr>
      <w:proofErr w:type="spellStart"/>
      <w:r w:rsidRPr="001D3481">
        <w:rPr>
          <w:color w:val="auto"/>
        </w:rPr>
        <w:t>Grantobiorca</w:t>
      </w:r>
      <w:proofErr w:type="spellEnd"/>
      <w:r w:rsidRPr="001D3481">
        <w:rPr>
          <w:color w:val="auto"/>
        </w:rPr>
        <w:t xml:space="preserve"> zobowiązany jest do stosowania oznaczeń o współfinansowaniu swoich działań w ramach mikroprojektu ze środków Unii Europejskiej w ramach projektu realizowanego przez </w:t>
      </w:r>
      <w:r w:rsidR="00A040CC" w:rsidRPr="001D3481">
        <w:rPr>
          <w:color w:val="auto"/>
        </w:rPr>
        <w:t>operatora</w:t>
      </w:r>
      <w:r w:rsidRPr="001D3481">
        <w:rPr>
          <w:color w:val="auto"/>
        </w:rPr>
        <w:t>.</w:t>
      </w:r>
    </w:p>
    <w:p w:rsidR="00C40765" w:rsidRPr="001D3481" w:rsidRDefault="00C40765" w:rsidP="00C40765">
      <w:pPr>
        <w:pStyle w:val="Akapitzlist"/>
        <w:numPr>
          <w:ilvl w:val="0"/>
          <w:numId w:val="39"/>
        </w:numPr>
        <w:spacing w:after="22" w:line="259" w:lineRule="auto"/>
        <w:ind w:right="0"/>
        <w:jc w:val="left"/>
        <w:rPr>
          <w:color w:val="auto"/>
        </w:rPr>
      </w:pPr>
      <w:r w:rsidRPr="001D3481">
        <w:rPr>
          <w:color w:val="auto"/>
        </w:rPr>
        <w:t xml:space="preserve">Wszelkie, </w:t>
      </w:r>
      <w:r w:rsidR="00A040CC" w:rsidRPr="001D3481">
        <w:rPr>
          <w:color w:val="auto"/>
        </w:rPr>
        <w:t xml:space="preserve">zawierających </w:t>
      </w:r>
      <w:r w:rsidRPr="001D3481">
        <w:rPr>
          <w:color w:val="auto"/>
        </w:rPr>
        <w:t xml:space="preserve">odpowiednie </w:t>
      </w:r>
      <w:proofErr w:type="spellStart"/>
      <w:r w:rsidR="009F12DB" w:rsidRPr="001D3481">
        <w:rPr>
          <w:color w:val="auto"/>
        </w:rPr>
        <w:t>o</w:t>
      </w:r>
      <w:r w:rsidRPr="001D3481">
        <w:rPr>
          <w:color w:val="auto"/>
        </w:rPr>
        <w:t>logowania</w:t>
      </w:r>
      <w:proofErr w:type="spellEnd"/>
      <w:r w:rsidRPr="001D3481">
        <w:rPr>
          <w:color w:val="auto"/>
        </w:rPr>
        <w:t xml:space="preserve">, tytuły i nazwy, zapewnia </w:t>
      </w:r>
      <w:r w:rsidR="00A040CC" w:rsidRPr="001D3481">
        <w:rPr>
          <w:color w:val="auto"/>
        </w:rPr>
        <w:t xml:space="preserve">operator </w:t>
      </w:r>
      <w:r w:rsidRPr="001D3481">
        <w:rPr>
          <w:color w:val="auto"/>
        </w:rPr>
        <w:t xml:space="preserve">i udostępnia </w:t>
      </w:r>
      <w:proofErr w:type="spellStart"/>
      <w:r w:rsidR="00A040CC" w:rsidRPr="001D3481">
        <w:rPr>
          <w:color w:val="auto"/>
        </w:rPr>
        <w:t>grantobiorcom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 xml:space="preserve">za pomocą platformy internetowej. </w:t>
      </w:r>
    </w:p>
    <w:p w:rsidR="00C40765" w:rsidRPr="001D3481" w:rsidRDefault="00C40765" w:rsidP="00C40765">
      <w:pPr>
        <w:pStyle w:val="Akapitzlist"/>
        <w:numPr>
          <w:ilvl w:val="0"/>
          <w:numId w:val="39"/>
        </w:numPr>
        <w:spacing w:after="22" w:line="259" w:lineRule="auto"/>
        <w:ind w:right="0"/>
        <w:jc w:val="left"/>
        <w:rPr>
          <w:color w:val="auto"/>
        </w:rPr>
      </w:pPr>
      <w:r w:rsidRPr="001D3481">
        <w:rPr>
          <w:color w:val="auto"/>
        </w:rPr>
        <w:t>Materiały i informacje przygotowywane we własnym zakresie</w:t>
      </w:r>
      <w:r w:rsidR="00760ED5">
        <w:rPr>
          <w:color w:val="auto"/>
        </w:rPr>
        <w:t xml:space="preserve">, inne niż wzory zapewnione przez </w:t>
      </w:r>
      <w:r w:rsidR="00A040CC">
        <w:rPr>
          <w:color w:val="auto"/>
        </w:rPr>
        <w:t>operatora</w:t>
      </w:r>
      <w:r w:rsidR="00760ED5">
        <w:rPr>
          <w:color w:val="auto"/>
        </w:rPr>
        <w:t xml:space="preserve">, </w:t>
      </w:r>
      <w:r w:rsidRPr="001D3481">
        <w:rPr>
          <w:color w:val="auto"/>
        </w:rPr>
        <w:t xml:space="preserve">przez </w:t>
      </w:r>
      <w:proofErr w:type="spellStart"/>
      <w:r w:rsidR="00A040CC" w:rsidRPr="001D3481">
        <w:rPr>
          <w:color w:val="auto"/>
        </w:rPr>
        <w:t>grantobiorców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 xml:space="preserve">będą akceptowane przez </w:t>
      </w:r>
      <w:r w:rsidR="00A040CC" w:rsidRPr="001D3481">
        <w:rPr>
          <w:color w:val="auto"/>
        </w:rPr>
        <w:t>operatora</w:t>
      </w:r>
      <w:r w:rsidRPr="001D3481">
        <w:rPr>
          <w:color w:val="auto"/>
        </w:rPr>
        <w:t xml:space="preserve">. </w:t>
      </w:r>
      <w:proofErr w:type="spellStart"/>
      <w:r w:rsidR="00A040CC" w:rsidRPr="001D3481">
        <w:rPr>
          <w:color w:val="auto"/>
        </w:rPr>
        <w:t>Grantobiorca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 xml:space="preserve">jest zobowiązany do uzyskania akceptacji </w:t>
      </w:r>
      <w:r w:rsidR="00A040CC" w:rsidRPr="001D3481">
        <w:rPr>
          <w:color w:val="auto"/>
        </w:rPr>
        <w:t xml:space="preserve">operatora </w:t>
      </w:r>
      <w:r w:rsidRPr="001D3481">
        <w:rPr>
          <w:color w:val="auto"/>
        </w:rPr>
        <w:t xml:space="preserve">przed wykonaniem w ramach budżetu mikroprojektu. </w:t>
      </w:r>
    </w:p>
    <w:p w:rsidR="00C40765" w:rsidRPr="001D3481" w:rsidRDefault="00C40765" w:rsidP="00C40765">
      <w:pPr>
        <w:pStyle w:val="Akapitzlist"/>
        <w:numPr>
          <w:ilvl w:val="0"/>
          <w:numId w:val="39"/>
        </w:numPr>
        <w:spacing w:after="22" w:line="259" w:lineRule="auto"/>
        <w:ind w:right="0"/>
        <w:jc w:val="left"/>
        <w:rPr>
          <w:color w:val="auto"/>
        </w:rPr>
      </w:pPr>
      <w:r w:rsidRPr="001D3481">
        <w:rPr>
          <w:color w:val="auto"/>
        </w:rPr>
        <w:t xml:space="preserve">W przypadku materiałów promocyjnych i informacyjnych, wykonanych przez </w:t>
      </w:r>
      <w:proofErr w:type="spellStart"/>
      <w:r w:rsidR="00A040CC" w:rsidRPr="001D3481">
        <w:rPr>
          <w:color w:val="auto"/>
        </w:rPr>
        <w:t>grantobiorcę</w:t>
      </w:r>
      <w:proofErr w:type="spellEnd"/>
      <w:r w:rsidR="00A040CC" w:rsidRPr="001D3481">
        <w:rPr>
          <w:color w:val="auto"/>
        </w:rPr>
        <w:t xml:space="preserve"> </w:t>
      </w:r>
      <w:r w:rsidRPr="001D3481">
        <w:rPr>
          <w:color w:val="auto"/>
        </w:rPr>
        <w:t xml:space="preserve">bez akceptacji </w:t>
      </w:r>
      <w:r w:rsidR="00A040CC" w:rsidRPr="001D3481">
        <w:rPr>
          <w:color w:val="auto"/>
        </w:rPr>
        <w:t>operatora</w:t>
      </w:r>
      <w:r w:rsidRPr="001D3481">
        <w:rPr>
          <w:color w:val="auto"/>
        </w:rPr>
        <w:t>, koszty ich wykonania będą niekwalifikowane w ramach budżetu mikroprojektu.</w:t>
      </w:r>
    </w:p>
    <w:p w:rsidR="00C40765" w:rsidRPr="001D3481" w:rsidRDefault="00C40765" w:rsidP="00C40765">
      <w:pPr>
        <w:pStyle w:val="Akapitzlist"/>
        <w:numPr>
          <w:ilvl w:val="0"/>
          <w:numId w:val="39"/>
        </w:numPr>
        <w:spacing w:after="22" w:line="259" w:lineRule="auto"/>
        <w:ind w:right="0"/>
        <w:jc w:val="left"/>
        <w:rPr>
          <w:color w:val="auto"/>
        </w:rPr>
      </w:pPr>
      <w:r w:rsidRPr="001D3481">
        <w:rPr>
          <w:color w:val="auto"/>
        </w:rPr>
        <w:t xml:space="preserve">Operator zapewnia podstawowe narzędzia promocyjne i informacyjne takie jak: </w:t>
      </w:r>
    </w:p>
    <w:p w:rsidR="00C40765" w:rsidRPr="001D3481" w:rsidRDefault="00C40765" w:rsidP="00C40765">
      <w:pPr>
        <w:pStyle w:val="Akapitzlist"/>
        <w:numPr>
          <w:ilvl w:val="1"/>
          <w:numId w:val="39"/>
        </w:numPr>
        <w:spacing w:after="22" w:line="259" w:lineRule="auto"/>
        <w:ind w:right="0"/>
        <w:jc w:val="left"/>
        <w:rPr>
          <w:color w:val="auto"/>
        </w:rPr>
      </w:pPr>
      <w:r w:rsidRPr="001D3481">
        <w:rPr>
          <w:color w:val="auto"/>
        </w:rPr>
        <w:t xml:space="preserve">zestawienia znaków, wzory plakatów i innych materiałów informacyjnych oraz promocyjnych, obowiązkowych do stosowania przez </w:t>
      </w:r>
      <w:proofErr w:type="spellStart"/>
      <w:r w:rsidR="00A040CC" w:rsidRPr="001D3481">
        <w:rPr>
          <w:color w:val="auto"/>
        </w:rPr>
        <w:t>grantobiorcę</w:t>
      </w:r>
      <w:proofErr w:type="spellEnd"/>
    </w:p>
    <w:p w:rsidR="00296DDC" w:rsidRPr="001D3481" w:rsidRDefault="00296DDC" w:rsidP="00C40765">
      <w:pPr>
        <w:pStyle w:val="Akapitzlist"/>
        <w:numPr>
          <w:ilvl w:val="1"/>
          <w:numId w:val="39"/>
        </w:numPr>
        <w:spacing w:after="22" w:line="259" w:lineRule="auto"/>
        <w:ind w:right="0"/>
        <w:jc w:val="left"/>
        <w:rPr>
          <w:color w:val="auto"/>
        </w:rPr>
      </w:pPr>
      <w:r w:rsidRPr="001D3481">
        <w:rPr>
          <w:color w:val="auto"/>
        </w:rPr>
        <w:t>stronę internetową projektu i fanpage na portalu społecznościowym Facebook</w:t>
      </w:r>
    </w:p>
    <w:p w:rsidR="00296DDC" w:rsidRPr="001D3481" w:rsidRDefault="00296DDC" w:rsidP="00C40765">
      <w:pPr>
        <w:pStyle w:val="Akapitzlist"/>
        <w:numPr>
          <w:ilvl w:val="1"/>
          <w:numId w:val="39"/>
        </w:numPr>
        <w:spacing w:after="22" w:line="259" w:lineRule="auto"/>
        <w:ind w:right="0"/>
        <w:jc w:val="left"/>
        <w:rPr>
          <w:color w:val="auto"/>
        </w:rPr>
      </w:pPr>
      <w:r w:rsidRPr="001D3481">
        <w:rPr>
          <w:color w:val="auto"/>
        </w:rPr>
        <w:t>dostęp do fanpage dla jednej osoby reprezentującej mikroprojekt</w:t>
      </w:r>
    </w:p>
    <w:p w:rsidR="00296DDC" w:rsidRDefault="00296DDC" w:rsidP="00C40765">
      <w:pPr>
        <w:pStyle w:val="Akapitzlist"/>
        <w:numPr>
          <w:ilvl w:val="1"/>
          <w:numId w:val="39"/>
        </w:numPr>
        <w:spacing w:after="22" w:line="259" w:lineRule="auto"/>
        <w:ind w:right="0"/>
        <w:jc w:val="left"/>
        <w:rPr>
          <w:color w:val="auto"/>
        </w:rPr>
      </w:pPr>
      <w:r w:rsidRPr="001D3481">
        <w:rPr>
          <w:color w:val="auto"/>
        </w:rPr>
        <w:t xml:space="preserve">platformę internetową do szkolenia instruktorów, prowadzenia zajęć online z uczestnikami projektu (wykorzystanie ćwiczeń, wykonywanie zadań domowych itp.), wymiany informacji dla trenerów i instruktorów, dodatkowymi materiałami edukacyjnymi dla instruktorów i uczestników, dostępem do wzorów materiałów promocyjnych wymienionych w pkt. 6.a. </w:t>
      </w:r>
    </w:p>
    <w:p w:rsidR="00760ED5" w:rsidRDefault="00760ED5" w:rsidP="00760ED5">
      <w:pPr>
        <w:pStyle w:val="Akapitzlist"/>
        <w:numPr>
          <w:ilvl w:val="0"/>
          <w:numId w:val="39"/>
        </w:numPr>
        <w:spacing w:after="22" w:line="259" w:lineRule="auto"/>
        <w:ind w:right="0"/>
        <w:rPr>
          <w:color w:val="auto"/>
        </w:rPr>
      </w:pPr>
      <w:proofErr w:type="spellStart"/>
      <w:r>
        <w:rPr>
          <w:color w:val="auto"/>
        </w:rPr>
        <w:t>Grantobiorca</w:t>
      </w:r>
      <w:proofErr w:type="spellEnd"/>
      <w:r>
        <w:rPr>
          <w:color w:val="auto"/>
        </w:rPr>
        <w:t xml:space="preserve"> przekazuje Uczestnikom szkoleń materiały dydaktyczne (skrypty szkoleniowe) co najmniej w formie elektronicznej. </w:t>
      </w:r>
    </w:p>
    <w:p w:rsidR="00760ED5" w:rsidRPr="00760ED5" w:rsidRDefault="00760ED5" w:rsidP="00760ED5">
      <w:pPr>
        <w:pStyle w:val="Akapitzlist"/>
        <w:numPr>
          <w:ilvl w:val="0"/>
          <w:numId w:val="39"/>
        </w:numPr>
        <w:spacing w:after="22" w:line="259" w:lineRule="auto"/>
        <w:ind w:right="0"/>
        <w:rPr>
          <w:color w:val="auto"/>
        </w:rPr>
      </w:pPr>
      <w:r>
        <w:rPr>
          <w:color w:val="auto"/>
        </w:rPr>
        <w:t xml:space="preserve">Pozostałe materiały szkoleniowe (długopisy, notesy, wydruki skryptów szkoleniowych, nośniki pamięci do przekazania materiałów w wersji elektronicznej innej niż dostęp do platformy) </w:t>
      </w:r>
      <w:proofErr w:type="spellStart"/>
      <w:r w:rsidR="00A040CC">
        <w:rPr>
          <w:color w:val="auto"/>
        </w:rPr>
        <w:t>grantobiorca</w:t>
      </w:r>
      <w:proofErr w:type="spellEnd"/>
      <w:r w:rsidR="00A040CC">
        <w:rPr>
          <w:color w:val="auto"/>
        </w:rPr>
        <w:t xml:space="preserve"> </w:t>
      </w:r>
      <w:r>
        <w:rPr>
          <w:color w:val="auto"/>
        </w:rPr>
        <w:t>zapewnia we własnym zakresie.</w:t>
      </w:r>
    </w:p>
    <w:sectPr w:rsidR="00760ED5" w:rsidRPr="00760ED5" w:rsidSect="008835FD">
      <w:footerReference w:type="even" r:id="rId11"/>
      <w:footerReference w:type="default" r:id="rId12"/>
      <w:footerReference w:type="first" r:id="rId13"/>
      <w:pgSz w:w="11906" w:h="16838"/>
      <w:pgMar w:top="708" w:right="1366" w:bottom="1443" w:left="1416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A2B9D0" w16cid:durableId="1D7BE80B"/>
  <w16cid:commentId w16cid:paraId="5EFAEBB4" w16cid:durableId="1D7D6251"/>
  <w16cid:commentId w16cid:paraId="61CEA0BE" w16cid:durableId="1D7BE813"/>
  <w16cid:commentId w16cid:paraId="74A37261" w16cid:durableId="1D7D62E6"/>
  <w16cid:commentId w16cid:paraId="52F4B73E" w16cid:durableId="1D7BE814"/>
  <w16cid:commentId w16cid:paraId="6635BCC6" w16cid:durableId="1D7D6330"/>
  <w16cid:commentId w16cid:paraId="1126951A" w16cid:durableId="1D7BE815"/>
  <w16cid:commentId w16cid:paraId="256CBEE8" w16cid:durableId="1D7D63F0"/>
  <w16cid:commentId w16cid:paraId="606B713B" w16cid:durableId="1D7BE81F"/>
  <w16cid:commentId w16cid:paraId="21E0B111" w16cid:durableId="1D7D66D1"/>
  <w16cid:commentId w16cid:paraId="6EDCB708" w16cid:durableId="1D7BE822"/>
  <w16cid:commentId w16cid:paraId="3312E774" w16cid:durableId="1D7D676B"/>
  <w16cid:commentId w16cid:paraId="100D328C" w16cid:durableId="1D7BE824"/>
  <w16cid:commentId w16cid:paraId="06BD9FA3" w16cid:durableId="1D7D677B"/>
  <w16cid:commentId w16cid:paraId="6703C9CB" w16cid:durableId="1D7BE828"/>
  <w16cid:commentId w16cid:paraId="2F2F7D6B" w16cid:durableId="1D7D67F4"/>
  <w16cid:commentId w16cid:paraId="33F270A6" w16cid:durableId="1D7BE82B"/>
  <w16cid:commentId w16cid:paraId="3C96AC09" w16cid:durableId="1D7D6838"/>
  <w16cid:commentId w16cid:paraId="76D8698B" w16cid:durableId="1D7BE82C"/>
  <w16cid:commentId w16cid:paraId="18C1B802" w16cid:durableId="1D7D6882"/>
  <w16cid:commentId w16cid:paraId="6755E025" w16cid:durableId="1D7BE82D"/>
  <w16cid:commentId w16cid:paraId="16675643" w16cid:durableId="1D7D68C8"/>
  <w16cid:commentId w16cid:paraId="59767471" w16cid:durableId="1D7BE82F"/>
  <w16cid:commentId w16cid:paraId="34122F62" w16cid:durableId="1D7D68F6"/>
  <w16cid:commentId w16cid:paraId="305DF2BC" w16cid:durableId="1D7BE830"/>
  <w16cid:commentId w16cid:paraId="7B5931C6" w16cid:durableId="1D7D6910"/>
  <w16cid:commentId w16cid:paraId="54CBCA57" w16cid:durableId="1D7BE836"/>
  <w16cid:commentId w16cid:paraId="004B9908" w16cid:durableId="1D7D69E8"/>
  <w16cid:commentId w16cid:paraId="09D0D2CA" w16cid:durableId="1D7BE838"/>
  <w16cid:commentId w16cid:paraId="10BC038A" w16cid:durableId="1D7D6A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AB" w:rsidRDefault="005A20AB">
      <w:pPr>
        <w:spacing w:after="0" w:line="240" w:lineRule="auto"/>
      </w:pPr>
      <w:r>
        <w:separator/>
      </w:r>
    </w:p>
  </w:endnote>
  <w:endnote w:type="continuationSeparator" w:id="0">
    <w:p w:rsidR="005A20AB" w:rsidRDefault="005A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81" w:rsidRDefault="00900927">
    <w:pPr>
      <w:spacing w:after="0" w:line="259" w:lineRule="auto"/>
      <w:ind w:left="0" w:right="53" w:firstLine="0"/>
      <w:jc w:val="center"/>
    </w:pPr>
    <w:r>
      <w:fldChar w:fldCharType="begin"/>
    </w:r>
    <w:r w:rsidR="001D3481">
      <w:instrText xml:space="preserve"> PAGE   \* MERGEFORMAT </w:instrText>
    </w:r>
    <w:r>
      <w:fldChar w:fldCharType="separate"/>
    </w:r>
    <w:r w:rsidR="001D3481">
      <w:rPr>
        <w:sz w:val="22"/>
      </w:rPr>
      <w:t>2</w:t>
    </w:r>
    <w:r>
      <w:rPr>
        <w:sz w:val="22"/>
      </w:rPr>
      <w:fldChar w:fldCharType="end"/>
    </w:r>
    <w:r w:rsidR="001D3481">
      <w:rPr>
        <w:sz w:val="22"/>
      </w:rPr>
      <w:t xml:space="preserve"> </w:t>
    </w:r>
  </w:p>
  <w:p w:rsidR="001D3481" w:rsidRDefault="001D3481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81" w:rsidRDefault="00900927">
    <w:pPr>
      <w:spacing w:after="0" w:line="259" w:lineRule="auto"/>
      <w:ind w:left="0" w:right="53" w:firstLine="0"/>
      <w:jc w:val="center"/>
    </w:pPr>
    <w:r>
      <w:fldChar w:fldCharType="begin"/>
    </w:r>
    <w:r w:rsidR="001D3481">
      <w:instrText xml:space="preserve"> PAGE   \* MERGEFORMAT </w:instrText>
    </w:r>
    <w:r>
      <w:fldChar w:fldCharType="separate"/>
    </w:r>
    <w:r w:rsidR="00C53BA5" w:rsidRPr="00C53BA5">
      <w:rPr>
        <w:noProof/>
        <w:sz w:val="22"/>
      </w:rPr>
      <w:t>2</w:t>
    </w:r>
    <w:r>
      <w:rPr>
        <w:sz w:val="22"/>
      </w:rPr>
      <w:fldChar w:fldCharType="end"/>
    </w:r>
    <w:r w:rsidR="001D3481">
      <w:rPr>
        <w:sz w:val="22"/>
      </w:rPr>
      <w:t xml:space="preserve"> </w:t>
    </w:r>
  </w:p>
  <w:p w:rsidR="001D3481" w:rsidRDefault="001D3481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81" w:rsidRDefault="001D348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AB" w:rsidRDefault="005A20AB">
      <w:pPr>
        <w:spacing w:after="0" w:line="240" w:lineRule="auto"/>
      </w:pPr>
      <w:r>
        <w:separator/>
      </w:r>
    </w:p>
  </w:footnote>
  <w:footnote w:type="continuationSeparator" w:id="0">
    <w:p w:rsidR="005A20AB" w:rsidRDefault="005A20AB">
      <w:pPr>
        <w:spacing w:after="0" w:line="240" w:lineRule="auto"/>
      </w:pPr>
      <w:r>
        <w:continuationSeparator/>
      </w:r>
    </w:p>
  </w:footnote>
  <w:footnote w:id="1">
    <w:p w:rsidR="001D3481" w:rsidRDefault="001D3481">
      <w:pPr>
        <w:pStyle w:val="Tekstprzypisudolnego"/>
      </w:pPr>
      <w:r>
        <w:rPr>
          <w:rStyle w:val="Odwoanieprzypisudolnego"/>
        </w:rPr>
        <w:footnoteRef/>
      </w:r>
      <w:r>
        <w:t xml:space="preserve"> Realizacja szkoleń w projekcie cyfrowym za pomocą platformy edukacyjnej pozwala na zracjonalizowanie kosztów realizacji przedsięwzięcia i nie ogranicza tym samym ilości instruktorów, która determinowałaby ilość i formę szkoleń stacjonarnych, co wpływa na efektywność kosztową działań i wykonalność budżetu.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5EE"/>
    <w:multiLevelType w:val="hybridMultilevel"/>
    <w:tmpl w:val="66DA4216"/>
    <w:lvl w:ilvl="0" w:tplc="0415000F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 w15:restartNumberingAfterBreak="0">
    <w:nsid w:val="06AC3494"/>
    <w:multiLevelType w:val="hybridMultilevel"/>
    <w:tmpl w:val="95C29B30"/>
    <w:lvl w:ilvl="0" w:tplc="04150019">
      <w:start w:val="1"/>
      <w:numFmt w:val="lowerLetter"/>
      <w:lvlText w:val="%1."/>
      <w:lvlJc w:val="left"/>
      <w:pPr>
        <w:ind w:left="1708" w:hanging="360"/>
      </w:p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0A440C76"/>
    <w:multiLevelType w:val="hybridMultilevel"/>
    <w:tmpl w:val="999A43DE"/>
    <w:lvl w:ilvl="0" w:tplc="17C06F4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CF1F2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AD444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AF69C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6C41C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A03B8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A5E88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CEC30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CF626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D190E"/>
    <w:multiLevelType w:val="hybridMultilevel"/>
    <w:tmpl w:val="D56409D2"/>
    <w:lvl w:ilvl="0" w:tplc="04150015">
      <w:start w:val="1"/>
      <w:numFmt w:val="upperLetter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151865CE"/>
    <w:multiLevelType w:val="hybridMultilevel"/>
    <w:tmpl w:val="B5BC84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33026"/>
    <w:multiLevelType w:val="hybridMultilevel"/>
    <w:tmpl w:val="DE1096DC"/>
    <w:lvl w:ilvl="0" w:tplc="0415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6" w15:restartNumberingAfterBreak="0">
    <w:nsid w:val="23B632F3"/>
    <w:multiLevelType w:val="hybridMultilevel"/>
    <w:tmpl w:val="87D21C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5647"/>
    <w:multiLevelType w:val="hybridMultilevel"/>
    <w:tmpl w:val="627458F8"/>
    <w:lvl w:ilvl="0" w:tplc="7FB81B4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9DB6FBD"/>
    <w:multiLevelType w:val="hybridMultilevel"/>
    <w:tmpl w:val="F5F8B8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72736"/>
    <w:multiLevelType w:val="hybridMultilevel"/>
    <w:tmpl w:val="D9669E5C"/>
    <w:lvl w:ilvl="0" w:tplc="A3F0A406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81950">
      <w:start w:val="23"/>
      <w:numFmt w:val="upp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83AE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EB612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8038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230F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2EB4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275E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06D4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390D57"/>
    <w:multiLevelType w:val="hybridMultilevel"/>
    <w:tmpl w:val="D7A8DA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6E1901"/>
    <w:multiLevelType w:val="hybridMultilevel"/>
    <w:tmpl w:val="C7B63D38"/>
    <w:lvl w:ilvl="0" w:tplc="14A66BE2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0C11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A2F7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CED3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0EC2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8677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6DB4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2726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2633C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C80C76"/>
    <w:multiLevelType w:val="hybridMultilevel"/>
    <w:tmpl w:val="69624CA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99537BF"/>
    <w:multiLevelType w:val="hybridMultilevel"/>
    <w:tmpl w:val="9ECC92A6"/>
    <w:lvl w:ilvl="0" w:tplc="0415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 w15:restartNumberingAfterBreak="0">
    <w:nsid w:val="3BD649ED"/>
    <w:multiLevelType w:val="hybridMultilevel"/>
    <w:tmpl w:val="9FF0304A"/>
    <w:lvl w:ilvl="0" w:tplc="D5DE5E1E">
      <w:start w:val="8"/>
      <w:numFmt w:val="decimal"/>
      <w:lvlText w:val="%1."/>
      <w:lvlJc w:val="left"/>
      <w:pPr>
        <w:ind w:left="705" w:firstLine="0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525A4"/>
    <w:multiLevelType w:val="hybridMultilevel"/>
    <w:tmpl w:val="6AB2C9FC"/>
    <w:lvl w:ilvl="0" w:tplc="6C1CE9B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E3EF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A690A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83FDE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C978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0B47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684C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4187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A4BD4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CA2560"/>
    <w:multiLevelType w:val="hybridMultilevel"/>
    <w:tmpl w:val="FF4EEDCA"/>
    <w:lvl w:ilvl="0" w:tplc="0415000F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 w15:restartNumberingAfterBreak="0">
    <w:nsid w:val="42D65084"/>
    <w:multiLevelType w:val="hybridMultilevel"/>
    <w:tmpl w:val="FAE23D8E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EFF5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23CC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E69D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E0CD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286EE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037F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E08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E210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F149A6"/>
    <w:multiLevelType w:val="hybridMultilevel"/>
    <w:tmpl w:val="C164BC8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3E26D0C"/>
    <w:multiLevelType w:val="hybridMultilevel"/>
    <w:tmpl w:val="7C901930"/>
    <w:lvl w:ilvl="0" w:tplc="EF681D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6768D"/>
    <w:multiLevelType w:val="hybridMultilevel"/>
    <w:tmpl w:val="FAFE6C4C"/>
    <w:lvl w:ilvl="0" w:tplc="9976ECD8">
      <w:start w:val="2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1" w15:restartNumberingAfterBreak="0">
    <w:nsid w:val="491C6E08"/>
    <w:multiLevelType w:val="hybridMultilevel"/>
    <w:tmpl w:val="D2A24916"/>
    <w:lvl w:ilvl="0" w:tplc="04150019">
      <w:start w:val="1"/>
      <w:numFmt w:val="lowerLetter"/>
      <w:lvlText w:val="%1."/>
      <w:lvlJc w:val="left"/>
      <w:pPr>
        <w:ind w:left="1764" w:hanging="360"/>
      </w:p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2" w15:restartNumberingAfterBreak="0">
    <w:nsid w:val="4A846C84"/>
    <w:multiLevelType w:val="hybridMultilevel"/>
    <w:tmpl w:val="A40033A6"/>
    <w:lvl w:ilvl="0" w:tplc="C364813A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C613C">
      <w:start w:val="1"/>
      <w:numFmt w:val="lowerLetter"/>
      <w:lvlText w:val="%2"/>
      <w:lvlJc w:val="left"/>
      <w:pPr>
        <w:ind w:left="1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6066A">
      <w:start w:val="1"/>
      <w:numFmt w:val="lowerRoman"/>
      <w:lvlText w:val="%3"/>
      <w:lvlJc w:val="left"/>
      <w:pPr>
        <w:ind w:left="1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2AB8">
      <w:start w:val="1"/>
      <w:numFmt w:val="decimal"/>
      <w:lvlText w:val="%4"/>
      <w:lvlJc w:val="left"/>
      <w:pPr>
        <w:ind w:left="2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642E8">
      <w:start w:val="1"/>
      <w:numFmt w:val="lowerLetter"/>
      <w:lvlText w:val="%5"/>
      <w:lvlJc w:val="left"/>
      <w:pPr>
        <w:ind w:left="3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653AE">
      <w:start w:val="1"/>
      <w:numFmt w:val="lowerRoman"/>
      <w:lvlText w:val="%6"/>
      <w:lvlJc w:val="left"/>
      <w:pPr>
        <w:ind w:left="4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0A648">
      <w:start w:val="1"/>
      <w:numFmt w:val="decimal"/>
      <w:lvlText w:val="%7"/>
      <w:lvlJc w:val="left"/>
      <w:pPr>
        <w:ind w:left="4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03618">
      <w:start w:val="1"/>
      <w:numFmt w:val="lowerLetter"/>
      <w:lvlText w:val="%8"/>
      <w:lvlJc w:val="left"/>
      <w:pPr>
        <w:ind w:left="5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20FEA">
      <w:start w:val="1"/>
      <w:numFmt w:val="lowerRoman"/>
      <w:lvlText w:val="%9"/>
      <w:lvlJc w:val="left"/>
      <w:pPr>
        <w:ind w:left="6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902530"/>
    <w:multiLevelType w:val="hybridMultilevel"/>
    <w:tmpl w:val="C4660538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81950">
      <w:start w:val="23"/>
      <w:numFmt w:val="upp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83AE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EB612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8038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230F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2EB4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275E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06D4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AC647F"/>
    <w:multiLevelType w:val="hybridMultilevel"/>
    <w:tmpl w:val="0C18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5597A"/>
    <w:multiLevelType w:val="hybridMultilevel"/>
    <w:tmpl w:val="E300F98A"/>
    <w:lvl w:ilvl="0" w:tplc="DC3C8B82">
      <w:start w:val="1"/>
      <w:numFmt w:val="lowerLetter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9222F17"/>
    <w:multiLevelType w:val="hybridMultilevel"/>
    <w:tmpl w:val="A7505506"/>
    <w:lvl w:ilvl="0" w:tplc="4A6A3A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0FD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24C72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4F738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89598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02DBC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CF6B6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A3DD2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A5EC4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920CBC"/>
    <w:multiLevelType w:val="hybridMultilevel"/>
    <w:tmpl w:val="9C48E178"/>
    <w:lvl w:ilvl="0" w:tplc="0415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28" w15:restartNumberingAfterBreak="0">
    <w:nsid w:val="5AFA6DA7"/>
    <w:multiLevelType w:val="hybridMultilevel"/>
    <w:tmpl w:val="E238049A"/>
    <w:lvl w:ilvl="0" w:tplc="D5269FB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C878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4C87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22C4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E8B1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ECF0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2D5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219A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6CB0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897628"/>
    <w:multiLevelType w:val="hybridMultilevel"/>
    <w:tmpl w:val="7EA4E7C2"/>
    <w:lvl w:ilvl="0" w:tplc="0415000F">
      <w:start w:val="1"/>
      <w:numFmt w:val="decimal"/>
      <w:lvlText w:val="%1."/>
      <w:lvlJc w:val="left"/>
      <w:pPr>
        <w:ind w:left="988" w:hanging="360"/>
      </w:pPr>
    </w:lvl>
    <w:lvl w:ilvl="1" w:tplc="02722996">
      <w:numFmt w:val="bullet"/>
      <w:lvlText w:val=""/>
      <w:lvlJc w:val="left"/>
      <w:pPr>
        <w:ind w:left="1708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0" w15:restartNumberingAfterBreak="0">
    <w:nsid w:val="5F2B352B"/>
    <w:multiLevelType w:val="hybridMultilevel"/>
    <w:tmpl w:val="E0245A02"/>
    <w:lvl w:ilvl="0" w:tplc="04150019">
      <w:start w:val="1"/>
      <w:numFmt w:val="lowerLetter"/>
      <w:lvlText w:val="%1.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1" w15:restartNumberingAfterBreak="0">
    <w:nsid w:val="63673E14"/>
    <w:multiLevelType w:val="hybridMultilevel"/>
    <w:tmpl w:val="AA5E600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7D6386D"/>
    <w:multiLevelType w:val="hybridMultilevel"/>
    <w:tmpl w:val="F2EAA07E"/>
    <w:lvl w:ilvl="0" w:tplc="A4DC2D22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0DC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4A6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8F7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268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BF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09C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203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AF3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E812F2"/>
    <w:multiLevelType w:val="hybridMultilevel"/>
    <w:tmpl w:val="20943178"/>
    <w:lvl w:ilvl="0" w:tplc="04150019">
      <w:start w:val="1"/>
      <w:numFmt w:val="lowerLetter"/>
      <w:lvlText w:val="%1."/>
      <w:lvlJc w:val="left"/>
      <w:pPr>
        <w:ind w:left="1708" w:hanging="360"/>
      </w:p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34" w15:restartNumberingAfterBreak="0">
    <w:nsid w:val="6FE73699"/>
    <w:multiLevelType w:val="hybridMultilevel"/>
    <w:tmpl w:val="2C80AD8C"/>
    <w:lvl w:ilvl="0" w:tplc="78B2AC08">
      <w:start w:val="8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1A05661"/>
    <w:multiLevelType w:val="hybridMultilevel"/>
    <w:tmpl w:val="15860F7E"/>
    <w:lvl w:ilvl="0" w:tplc="0415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2722996">
      <w:numFmt w:val="bullet"/>
      <w:lvlText w:val=""/>
      <w:lvlJc w:val="left"/>
      <w:pPr>
        <w:ind w:left="1708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6" w15:restartNumberingAfterBreak="0">
    <w:nsid w:val="76E33882"/>
    <w:multiLevelType w:val="hybridMultilevel"/>
    <w:tmpl w:val="CA3A96F0"/>
    <w:lvl w:ilvl="0" w:tplc="B34861C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7" w15:restartNumberingAfterBreak="0">
    <w:nsid w:val="7BB1175C"/>
    <w:multiLevelType w:val="hybridMultilevel"/>
    <w:tmpl w:val="C4BA9D40"/>
    <w:lvl w:ilvl="0" w:tplc="04150013">
      <w:start w:val="1"/>
      <w:numFmt w:val="upperRoman"/>
      <w:lvlText w:val="%1."/>
      <w:lvlJc w:val="righ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8" w15:restartNumberingAfterBreak="0">
    <w:nsid w:val="7D6737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1247A6"/>
    <w:multiLevelType w:val="hybridMultilevel"/>
    <w:tmpl w:val="4002E544"/>
    <w:lvl w:ilvl="0" w:tplc="C19AB3B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8"/>
  </w:num>
  <w:num w:numId="2">
    <w:abstractNumId w:val="11"/>
  </w:num>
  <w:num w:numId="3">
    <w:abstractNumId w:val="17"/>
  </w:num>
  <w:num w:numId="4">
    <w:abstractNumId w:val="15"/>
  </w:num>
  <w:num w:numId="5">
    <w:abstractNumId w:val="9"/>
  </w:num>
  <w:num w:numId="6">
    <w:abstractNumId w:val="26"/>
  </w:num>
  <w:num w:numId="7">
    <w:abstractNumId w:val="2"/>
  </w:num>
  <w:num w:numId="8">
    <w:abstractNumId w:val="22"/>
  </w:num>
  <w:num w:numId="9">
    <w:abstractNumId w:val="32"/>
  </w:num>
  <w:num w:numId="10">
    <w:abstractNumId w:val="37"/>
  </w:num>
  <w:num w:numId="11">
    <w:abstractNumId w:val="38"/>
  </w:num>
  <w:num w:numId="12">
    <w:abstractNumId w:val="12"/>
  </w:num>
  <w:num w:numId="13">
    <w:abstractNumId w:val="29"/>
  </w:num>
  <w:num w:numId="14">
    <w:abstractNumId w:val="30"/>
  </w:num>
  <w:num w:numId="15">
    <w:abstractNumId w:val="4"/>
  </w:num>
  <w:num w:numId="16">
    <w:abstractNumId w:val="1"/>
  </w:num>
  <w:num w:numId="17">
    <w:abstractNumId w:val="5"/>
  </w:num>
  <w:num w:numId="18">
    <w:abstractNumId w:val="33"/>
  </w:num>
  <w:num w:numId="19">
    <w:abstractNumId w:val="13"/>
  </w:num>
  <w:num w:numId="20">
    <w:abstractNumId w:val="21"/>
  </w:num>
  <w:num w:numId="21">
    <w:abstractNumId w:val="35"/>
  </w:num>
  <w:num w:numId="22">
    <w:abstractNumId w:val="27"/>
  </w:num>
  <w:num w:numId="23">
    <w:abstractNumId w:val="31"/>
  </w:num>
  <w:num w:numId="24">
    <w:abstractNumId w:val="25"/>
  </w:num>
  <w:num w:numId="25">
    <w:abstractNumId w:val="16"/>
  </w:num>
  <w:num w:numId="26">
    <w:abstractNumId w:val="3"/>
  </w:num>
  <w:num w:numId="27">
    <w:abstractNumId w:val="10"/>
  </w:num>
  <w:num w:numId="28">
    <w:abstractNumId w:val="34"/>
  </w:num>
  <w:num w:numId="29">
    <w:abstractNumId w:val="23"/>
  </w:num>
  <w:num w:numId="30">
    <w:abstractNumId w:val="20"/>
  </w:num>
  <w:num w:numId="31">
    <w:abstractNumId w:val="0"/>
  </w:num>
  <w:num w:numId="32">
    <w:abstractNumId w:val="18"/>
  </w:num>
  <w:num w:numId="33">
    <w:abstractNumId w:val="36"/>
  </w:num>
  <w:num w:numId="34">
    <w:abstractNumId w:val="19"/>
  </w:num>
  <w:num w:numId="35">
    <w:abstractNumId w:val="7"/>
  </w:num>
  <w:num w:numId="36">
    <w:abstractNumId w:val="14"/>
  </w:num>
  <w:num w:numId="37">
    <w:abstractNumId w:val="8"/>
  </w:num>
  <w:num w:numId="38">
    <w:abstractNumId w:val="39"/>
  </w:num>
  <w:num w:numId="39">
    <w:abstractNumId w:val="2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E"/>
    <w:rsid w:val="000067CE"/>
    <w:rsid w:val="00022F53"/>
    <w:rsid w:val="000256D4"/>
    <w:rsid w:val="00026170"/>
    <w:rsid w:val="00031DD2"/>
    <w:rsid w:val="00031E25"/>
    <w:rsid w:val="000520A2"/>
    <w:rsid w:val="000523D9"/>
    <w:rsid w:val="00054CDB"/>
    <w:rsid w:val="00064A97"/>
    <w:rsid w:val="000655C5"/>
    <w:rsid w:val="00090236"/>
    <w:rsid w:val="000A1892"/>
    <w:rsid w:val="000B0B31"/>
    <w:rsid w:val="000B2E6D"/>
    <w:rsid w:val="000B6505"/>
    <w:rsid w:val="000C0D22"/>
    <w:rsid w:val="000C704A"/>
    <w:rsid w:val="0010496D"/>
    <w:rsid w:val="00104CBB"/>
    <w:rsid w:val="001238F4"/>
    <w:rsid w:val="00125849"/>
    <w:rsid w:val="00130E1A"/>
    <w:rsid w:val="001353FE"/>
    <w:rsid w:val="001455CC"/>
    <w:rsid w:val="00147BB8"/>
    <w:rsid w:val="001522DA"/>
    <w:rsid w:val="001629B2"/>
    <w:rsid w:val="00180743"/>
    <w:rsid w:val="00193179"/>
    <w:rsid w:val="0019350B"/>
    <w:rsid w:val="001A0A9A"/>
    <w:rsid w:val="001A1251"/>
    <w:rsid w:val="001A3BD3"/>
    <w:rsid w:val="001B1CDD"/>
    <w:rsid w:val="001B5531"/>
    <w:rsid w:val="001D3481"/>
    <w:rsid w:val="001D77D1"/>
    <w:rsid w:val="001F357E"/>
    <w:rsid w:val="002014CC"/>
    <w:rsid w:val="00213001"/>
    <w:rsid w:val="002246AD"/>
    <w:rsid w:val="00227E87"/>
    <w:rsid w:val="002537B8"/>
    <w:rsid w:val="0027205F"/>
    <w:rsid w:val="00275E02"/>
    <w:rsid w:val="002908FD"/>
    <w:rsid w:val="00296DDC"/>
    <w:rsid w:val="002A08AE"/>
    <w:rsid w:val="002B4B9E"/>
    <w:rsid w:val="002B7FE3"/>
    <w:rsid w:val="002C033A"/>
    <w:rsid w:val="002D4E73"/>
    <w:rsid w:val="003216A7"/>
    <w:rsid w:val="00363A1F"/>
    <w:rsid w:val="0036568A"/>
    <w:rsid w:val="00384A3B"/>
    <w:rsid w:val="00391917"/>
    <w:rsid w:val="003B0BEA"/>
    <w:rsid w:val="003B41A5"/>
    <w:rsid w:val="003B5978"/>
    <w:rsid w:val="003B5AF0"/>
    <w:rsid w:val="003C596B"/>
    <w:rsid w:val="0040617D"/>
    <w:rsid w:val="00432701"/>
    <w:rsid w:val="004377AE"/>
    <w:rsid w:val="00452574"/>
    <w:rsid w:val="0046055E"/>
    <w:rsid w:val="00466564"/>
    <w:rsid w:val="00466AC0"/>
    <w:rsid w:val="00470373"/>
    <w:rsid w:val="00490538"/>
    <w:rsid w:val="00494181"/>
    <w:rsid w:val="004C2626"/>
    <w:rsid w:val="004C3EBB"/>
    <w:rsid w:val="004D1FA4"/>
    <w:rsid w:val="004F017D"/>
    <w:rsid w:val="004F55FC"/>
    <w:rsid w:val="00520FA4"/>
    <w:rsid w:val="00521BE1"/>
    <w:rsid w:val="005251CC"/>
    <w:rsid w:val="00567A84"/>
    <w:rsid w:val="00573D1F"/>
    <w:rsid w:val="005833AA"/>
    <w:rsid w:val="00585A44"/>
    <w:rsid w:val="00595223"/>
    <w:rsid w:val="005A20AB"/>
    <w:rsid w:val="005D47FD"/>
    <w:rsid w:val="005E2602"/>
    <w:rsid w:val="005E7F60"/>
    <w:rsid w:val="005F11F5"/>
    <w:rsid w:val="006061FB"/>
    <w:rsid w:val="006227FA"/>
    <w:rsid w:val="00625556"/>
    <w:rsid w:val="00626BBF"/>
    <w:rsid w:val="006313F0"/>
    <w:rsid w:val="00636180"/>
    <w:rsid w:val="0065570C"/>
    <w:rsid w:val="0067033E"/>
    <w:rsid w:val="00685747"/>
    <w:rsid w:val="00685F94"/>
    <w:rsid w:val="00690F99"/>
    <w:rsid w:val="006A188A"/>
    <w:rsid w:val="006A3758"/>
    <w:rsid w:val="006E675E"/>
    <w:rsid w:val="0071065E"/>
    <w:rsid w:val="00713E47"/>
    <w:rsid w:val="00734454"/>
    <w:rsid w:val="00737932"/>
    <w:rsid w:val="0074112E"/>
    <w:rsid w:val="00750978"/>
    <w:rsid w:val="00760ED5"/>
    <w:rsid w:val="007707BB"/>
    <w:rsid w:val="007971F0"/>
    <w:rsid w:val="007A3568"/>
    <w:rsid w:val="007A4DB3"/>
    <w:rsid w:val="007B00C2"/>
    <w:rsid w:val="007B2115"/>
    <w:rsid w:val="007D7CE4"/>
    <w:rsid w:val="007F77F1"/>
    <w:rsid w:val="00811970"/>
    <w:rsid w:val="00832C34"/>
    <w:rsid w:val="0085730F"/>
    <w:rsid w:val="00881C61"/>
    <w:rsid w:val="00882F2C"/>
    <w:rsid w:val="008835FD"/>
    <w:rsid w:val="0089112E"/>
    <w:rsid w:val="00897290"/>
    <w:rsid w:val="008D4F41"/>
    <w:rsid w:val="008E19E6"/>
    <w:rsid w:val="008F392F"/>
    <w:rsid w:val="008F7B43"/>
    <w:rsid w:val="00900927"/>
    <w:rsid w:val="00903DD8"/>
    <w:rsid w:val="00922F4E"/>
    <w:rsid w:val="00925E2B"/>
    <w:rsid w:val="0094667B"/>
    <w:rsid w:val="00950644"/>
    <w:rsid w:val="00963E8C"/>
    <w:rsid w:val="00966E0D"/>
    <w:rsid w:val="00967077"/>
    <w:rsid w:val="00973944"/>
    <w:rsid w:val="00973984"/>
    <w:rsid w:val="0097447E"/>
    <w:rsid w:val="009812F6"/>
    <w:rsid w:val="009C7A0E"/>
    <w:rsid w:val="009D1941"/>
    <w:rsid w:val="009F12DB"/>
    <w:rsid w:val="00A040CC"/>
    <w:rsid w:val="00A07FD3"/>
    <w:rsid w:val="00A27611"/>
    <w:rsid w:val="00A310E6"/>
    <w:rsid w:val="00A32CF0"/>
    <w:rsid w:val="00A46468"/>
    <w:rsid w:val="00A52759"/>
    <w:rsid w:val="00A747B7"/>
    <w:rsid w:val="00A93375"/>
    <w:rsid w:val="00AC53D9"/>
    <w:rsid w:val="00AD1DCC"/>
    <w:rsid w:val="00AE207B"/>
    <w:rsid w:val="00B1049C"/>
    <w:rsid w:val="00B1382A"/>
    <w:rsid w:val="00B15854"/>
    <w:rsid w:val="00B3320F"/>
    <w:rsid w:val="00B409BD"/>
    <w:rsid w:val="00B4593E"/>
    <w:rsid w:val="00B45D6B"/>
    <w:rsid w:val="00B635D4"/>
    <w:rsid w:val="00B67EC3"/>
    <w:rsid w:val="00B815F1"/>
    <w:rsid w:val="00B90F30"/>
    <w:rsid w:val="00B94FB3"/>
    <w:rsid w:val="00BA19FE"/>
    <w:rsid w:val="00BD6F4F"/>
    <w:rsid w:val="00BD7349"/>
    <w:rsid w:val="00BE21A4"/>
    <w:rsid w:val="00BE5245"/>
    <w:rsid w:val="00BE71D9"/>
    <w:rsid w:val="00BF4468"/>
    <w:rsid w:val="00BF5EA7"/>
    <w:rsid w:val="00C006CE"/>
    <w:rsid w:val="00C050D4"/>
    <w:rsid w:val="00C2078E"/>
    <w:rsid w:val="00C27594"/>
    <w:rsid w:val="00C40765"/>
    <w:rsid w:val="00C43BBC"/>
    <w:rsid w:val="00C44827"/>
    <w:rsid w:val="00C47884"/>
    <w:rsid w:val="00C53BA5"/>
    <w:rsid w:val="00C56922"/>
    <w:rsid w:val="00C97438"/>
    <w:rsid w:val="00CA335A"/>
    <w:rsid w:val="00CB4E90"/>
    <w:rsid w:val="00CD6E54"/>
    <w:rsid w:val="00CE3AEF"/>
    <w:rsid w:val="00CE649E"/>
    <w:rsid w:val="00CE68FB"/>
    <w:rsid w:val="00CF4F84"/>
    <w:rsid w:val="00D210CE"/>
    <w:rsid w:val="00D31DA4"/>
    <w:rsid w:val="00D4143B"/>
    <w:rsid w:val="00D46F1D"/>
    <w:rsid w:val="00D565C6"/>
    <w:rsid w:val="00D673BD"/>
    <w:rsid w:val="00D73898"/>
    <w:rsid w:val="00D73C34"/>
    <w:rsid w:val="00D97674"/>
    <w:rsid w:val="00DA1C83"/>
    <w:rsid w:val="00DA3E18"/>
    <w:rsid w:val="00E11B33"/>
    <w:rsid w:val="00E5204A"/>
    <w:rsid w:val="00EC4B70"/>
    <w:rsid w:val="00ED037E"/>
    <w:rsid w:val="00ED188C"/>
    <w:rsid w:val="00ED619F"/>
    <w:rsid w:val="00F12AFF"/>
    <w:rsid w:val="00F2514C"/>
    <w:rsid w:val="00F4648C"/>
    <w:rsid w:val="00F502B0"/>
    <w:rsid w:val="00F71E62"/>
    <w:rsid w:val="00F87FCE"/>
    <w:rsid w:val="00FB5A71"/>
    <w:rsid w:val="00FB7B07"/>
    <w:rsid w:val="00FC4E4A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6FF04-FFFA-4E79-B29E-8A7DB6D9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5FD"/>
    <w:pPr>
      <w:spacing w:after="47" w:line="268" w:lineRule="auto"/>
      <w:ind w:left="370" w:right="52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8835FD"/>
    <w:pPr>
      <w:keepNext/>
      <w:keepLines/>
      <w:spacing w:after="5"/>
      <w:ind w:left="370" w:hanging="10"/>
      <w:outlineLvl w:val="0"/>
    </w:pPr>
    <w:rPr>
      <w:rFonts w:ascii="Calibri" w:eastAsia="Calibri" w:hAnsi="Calibri" w:cs="Calibri"/>
      <w:color w:val="5B9BD5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rsid w:val="008835FD"/>
    <w:pPr>
      <w:keepNext/>
      <w:keepLines/>
      <w:spacing w:after="48" w:line="267" w:lineRule="auto"/>
      <w:ind w:left="293" w:hanging="10"/>
      <w:outlineLvl w:val="1"/>
    </w:pPr>
    <w:rPr>
      <w:rFonts w:ascii="Calibri" w:eastAsia="Calibri" w:hAnsi="Calibri" w:cs="Calibri"/>
      <w:color w:val="5B9BD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835FD"/>
    <w:rPr>
      <w:rFonts w:ascii="Calibri" w:eastAsia="Calibri" w:hAnsi="Calibri" w:cs="Calibri"/>
      <w:color w:val="5B9BD5"/>
      <w:sz w:val="24"/>
    </w:rPr>
  </w:style>
  <w:style w:type="character" w:customStyle="1" w:styleId="Nagwek1Znak">
    <w:name w:val="Nagłówek 1 Znak"/>
    <w:link w:val="Nagwek1"/>
    <w:rsid w:val="008835FD"/>
    <w:rPr>
      <w:rFonts w:ascii="Calibri" w:eastAsia="Calibri" w:hAnsi="Calibri" w:cs="Calibri"/>
      <w:color w:val="5B9BD5"/>
      <w:sz w:val="26"/>
    </w:rPr>
  </w:style>
  <w:style w:type="paragraph" w:styleId="Spistreci1">
    <w:name w:val="toc 1"/>
    <w:hidden/>
    <w:uiPriority w:val="39"/>
    <w:rsid w:val="008835FD"/>
    <w:pPr>
      <w:spacing w:after="113"/>
      <w:ind w:left="231" w:right="73" w:hanging="10"/>
      <w:jc w:val="right"/>
    </w:pPr>
    <w:rPr>
      <w:rFonts w:ascii="Calibri" w:eastAsia="Calibri" w:hAnsi="Calibri" w:cs="Calibri"/>
      <w:color w:val="000000"/>
    </w:rPr>
  </w:style>
  <w:style w:type="paragraph" w:styleId="Spistreci2">
    <w:name w:val="toc 2"/>
    <w:hidden/>
    <w:uiPriority w:val="39"/>
    <w:rsid w:val="008835FD"/>
    <w:pPr>
      <w:spacing w:after="115" w:line="258" w:lineRule="auto"/>
      <w:ind w:left="464" w:right="58" w:hanging="10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F11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1F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1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1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1F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1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1D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1D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1D9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765"/>
    <w:rPr>
      <w:color w:val="0563C1" w:themeColor="hyperlink"/>
      <w:u w:val="single"/>
    </w:rPr>
  </w:style>
  <w:style w:type="paragraph" w:customStyle="1" w:styleId="ox-3c84ca6101-msonormal">
    <w:name w:val="ox-3c84ca6101-msonormal"/>
    <w:basedOn w:val="Normalny"/>
    <w:uiPriority w:val="99"/>
    <w:rsid w:val="00925E2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2D1F-EB89-48E1-BA43-C70AF3DD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4211</Words>
  <Characters>25272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Usiądek</dc:creator>
  <cp:lastModifiedBy>Konto Microsoft</cp:lastModifiedBy>
  <cp:revision>1</cp:revision>
  <cp:lastPrinted>2019-03-22T08:14:00Z</cp:lastPrinted>
  <dcterms:created xsi:type="dcterms:W3CDTF">2019-04-17T07:20:00Z</dcterms:created>
  <dcterms:modified xsi:type="dcterms:W3CDTF">2019-04-17T07:20:00Z</dcterms:modified>
</cp:coreProperties>
</file>